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271FDC8" w14:textId="77777777" w:rsidR="00647B91" w:rsidRDefault="00647B91" w:rsidP="00647B91">
      <w:pPr>
        <w:jc w:val="center"/>
        <w:rPr>
          <w:rFonts w:ascii="Trebuchet MS Bold" w:eastAsia="ヒラギノ角ゴ Pro W3" w:hAnsi="Trebuchet MS Bold"/>
          <w:sz w:val="48"/>
        </w:rPr>
      </w:pPr>
      <w:r>
        <w:rPr>
          <w:noProof/>
          <w:lang w:val="en-US"/>
        </w:rPr>
        <w:drawing>
          <wp:anchor distT="50800" distB="50800" distL="50800" distR="50800" simplePos="0" relativeHeight="251661312" behindDoc="0" locked="0" layoutInCell="1" allowOverlap="1" wp14:anchorId="549A8BA6" wp14:editId="47EC4116">
            <wp:simplePos x="0" y="0"/>
            <wp:positionH relativeFrom="page">
              <wp:posOffset>2286000</wp:posOffset>
            </wp:positionH>
            <wp:positionV relativeFrom="page">
              <wp:posOffset>685800</wp:posOffset>
            </wp:positionV>
            <wp:extent cx="2565400" cy="1983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400" cy="1983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1AA7C" w14:textId="77777777" w:rsidR="00647B91" w:rsidRDefault="00647B91" w:rsidP="00647B91">
      <w:pPr>
        <w:jc w:val="center"/>
        <w:rPr>
          <w:rFonts w:ascii="Trebuchet MS Bold" w:eastAsia="ヒラギノ角ゴ Pro W3" w:hAnsi="Trebuchet MS Bold"/>
          <w:sz w:val="48"/>
        </w:rPr>
      </w:pPr>
    </w:p>
    <w:p w14:paraId="5896462A" w14:textId="77777777" w:rsidR="00647B91" w:rsidRDefault="00647B91" w:rsidP="00647B91">
      <w:pPr>
        <w:jc w:val="center"/>
        <w:rPr>
          <w:rFonts w:ascii="Trebuchet MS Bold" w:eastAsia="ヒラギノ角ゴ Pro W3" w:hAnsi="Trebuchet MS Bold"/>
          <w:sz w:val="48"/>
        </w:rPr>
      </w:pPr>
    </w:p>
    <w:p w14:paraId="180EA169" w14:textId="77777777" w:rsidR="00647B91" w:rsidRDefault="00647B91" w:rsidP="00647B91">
      <w:pPr>
        <w:jc w:val="center"/>
        <w:rPr>
          <w:rFonts w:ascii="Trebuchet MS Bold" w:eastAsia="ヒラギノ角ゴ Pro W3" w:hAnsi="Trebuchet MS Bold"/>
          <w:sz w:val="48"/>
        </w:rPr>
      </w:pPr>
    </w:p>
    <w:p w14:paraId="0452FF0E" w14:textId="77777777" w:rsidR="00647B91" w:rsidRDefault="00647B91" w:rsidP="00647B91">
      <w:pPr>
        <w:ind w:left="2880" w:firstLine="720"/>
        <w:rPr>
          <w:rFonts w:ascii="Trebuchet MS Bold" w:eastAsia="ヒラギノ角ゴ Pro W3" w:hAnsi="Trebuchet MS Bold"/>
          <w:color w:val="000000"/>
          <w:sz w:val="48"/>
        </w:rPr>
      </w:pPr>
      <w:r>
        <w:rPr>
          <w:rFonts w:ascii="Trebuchet MS Bold" w:eastAsia="ヒラギノ角ゴ Pro W3" w:hAnsi="Trebuchet MS Bold"/>
          <w:sz w:val="48"/>
        </w:rPr>
        <w:t>LAWS</w:t>
      </w:r>
      <w:r>
        <w:rPr>
          <w:rFonts w:ascii="Trebuchet MS Bold" w:eastAsia="ヒラギノ角ゴ Pro W3" w:hAnsi="Trebuchet MS Bold"/>
          <w:sz w:val="48"/>
        </w:rPr>
        <w:t>1205</w:t>
      </w:r>
    </w:p>
    <w:p w14:paraId="7F0F819E" w14:textId="77777777" w:rsidR="00647B91" w:rsidRDefault="00647B91" w:rsidP="00647B91">
      <w:pPr>
        <w:jc w:val="center"/>
        <w:rPr>
          <w:rFonts w:ascii="Trebuchet MS Bold" w:eastAsia="ヒラギノ角ゴ Pro W3" w:hAnsi="Trebuchet MS Bold"/>
          <w:color w:val="000000"/>
          <w:sz w:val="48"/>
        </w:rPr>
      </w:pPr>
      <w:r>
        <w:rPr>
          <w:rFonts w:ascii="Trebuchet MS Bold" w:eastAsia="ヒラギノ角ゴ Pro W3" w:hAnsi="Trebuchet MS Bold"/>
          <w:sz w:val="48"/>
        </w:rPr>
        <w:t>Australian Public</w:t>
      </w:r>
      <w:r>
        <w:rPr>
          <w:rFonts w:ascii="Trebuchet MS Bold" w:eastAsia="ヒラギノ角ゴ Pro W3" w:hAnsi="Trebuchet MS Bold"/>
          <w:sz w:val="48"/>
        </w:rPr>
        <w:t xml:space="preserve"> Law</w:t>
      </w:r>
    </w:p>
    <w:p w14:paraId="10EC79D2" w14:textId="77777777" w:rsidR="00647B91" w:rsidRDefault="00647B91" w:rsidP="00647B91">
      <w:pPr>
        <w:jc w:val="center"/>
        <w:rPr>
          <w:sz w:val="24"/>
        </w:rPr>
      </w:pPr>
      <w:r>
        <w:rPr>
          <w:noProof/>
          <w:lang w:val="en-AU" w:eastAsia="en-US"/>
        </w:rPr>
        <w:pict w14:anchorId="4D89C467">
          <v:rect id="_x0000_s1026" style="position:absolute;left:0;text-align:left;margin-left:81pt;margin-top:5in;width:449.4pt;height:251.6pt;z-index:251659264;mso-wrap-distance-left:4pt;mso-wrap-distance-top:4pt;mso-wrap-distance-right:4pt;mso-wrap-distance-bottom:4pt;mso-position-horizontal-relative:page;mso-position-vertical-relative:page" coordsize="21600,21600">
            <v:fill o:detectmouseclick="t"/>
            <v:stroke joinstyle="round"/>
            <v:path arrowok="t" o:connectlocs="10800,10800"/>
            <v:textbox inset="3pt,3pt,3pt,3pt">
              <w:txbxContent>
                <w:p w14:paraId="7500AF0A" w14:textId="77777777" w:rsidR="00647B91" w:rsidRDefault="00647B91" w:rsidP="00647B91">
                  <w:pPr>
                    <w:rPr>
                      <w:rFonts w:ascii="Arial Bold" w:eastAsia="ヒラギノ角ゴ Pro W3" w:hAnsi="Arial Bold"/>
                      <w:color w:val="000000"/>
                      <w:sz w:val="24"/>
                    </w:rPr>
                  </w:pPr>
                  <w:r>
                    <w:rPr>
                      <w:rFonts w:ascii="Arial Bold" w:eastAsia="ヒラギノ角ゴ Pro W3" w:hAnsi="Arial Bold"/>
                      <w:sz w:val="24"/>
                    </w:rPr>
                    <w:t>How to Use this Script:</w:t>
                  </w:r>
                </w:p>
                <w:p w14:paraId="364811C9" w14:textId="77777777" w:rsidR="00647B91" w:rsidRDefault="00647B91" w:rsidP="00647B91">
                  <w:pPr>
                    <w:rPr>
                      <w:rFonts w:ascii="Arial" w:eastAsia="ヒラギノ角ゴ Pro W3" w:hAnsi="Arial"/>
                      <w:color w:val="000000"/>
                      <w:sz w:val="24"/>
                    </w:rPr>
                  </w:pPr>
                  <w:r>
                    <w:rPr>
                      <w:rFonts w:ascii="Arial" w:eastAsia="ヒラギノ角ゴ Pro W3" w:hAnsi="Arial"/>
                      <w:sz w:val="24"/>
                    </w:rPr>
                    <w:t xml:space="preserve">These sample exam answers are based on problems done in past years. Since these answers were written, the law has changed and the subject may have changed. Additionally, the student may have made some mistakes in their answer, despite their good mark. </w:t>
                  </w:r>
                </w:p>
                <w:p w14:paraId="05DF2F4E" w14:textId="77777777" w:rsidR="00647B91" w:rsidRDefault="00647B91" w:rsidP="00647B91">
                  <w:pPr>
                    <w:rPr>
                      <w:rFonts w:ascii="Arial" w:eastAsia="ヒラギノ角ゴ Pro W3" w:hAnsi="Arial"/>
                      <w:color w:val="000000"/>
                      <w:sz w:val="24"/>
                    </w:rPr>
                  </w:pPr>
                </w:p>
                <w:p w14:paraId="5E266A4C" w14:textId="77777777" w:rsidR="00647B91" w:rsidRDefault="00647B91" w:rsidP="00647B91">
                  <w:pPr>
                    <w:rPr>
                      <w:rFonts w:ascii="Arial" w:eastAsia="ヒラギノ角ゴ Pro W3" w:hAnsi="Arial"/>
                      <w:color w:val="000000"/>
                      <w:sz w:val="24"/>
                    </w:rPr>
                  </w:pPr>
                  <w:r>
                    <w:rPr>
                      <w:rFonts w:ascii="Arial" w:eastAsia="ヒラギノ角ゴ Pro W3" w:hAnsi="Arial"/>
                      <w:sz w:val="24"/>
                    </w:rPr>
                    <w:t xml:space="preserve">Therefore </w:t>
                  </w:r>
                  <w:r>
                    <w:rPr>
                      <w:rFonts w:ascii="Arial Bold" w:eastAsia="ヒラギノ角ゴ Pro W3" w:hAnsi="Arial Bold"/>
                      <w:sz w:val="24"/>
                    </w:rPr>
                    <w:t>DO NOT</w:t>
                  </w:r>
                  <w:r>
                    <w:rPr>
                      <w:rFonts w:ascii="Arial" w:eastAsia="ヒラギノ角ゴ Pro W3" w:hAnsi="Arial"/>
                      <w:sz w:val="24"/>
                    </w:rPr>
                    <w:t xml:space="preserve"> use this script by copying or simplifying part of it directly for use in your exam or to supplement your summary. If you do so </w:t>
                  </w:r>
                  <w:r>
                    <w:rPr>
                      <w:rFonts w:ascii="Arial Bold" w:eastAsia="ヒラギノ角ゴ Pro W3" w:hAnsi="Arial Bold"/>
                      <w:sz w:val="24"/>
                    </w:rPr>
                    <w:t>YOUR MARK WILL PROBABLY END UP BEING WORSE!</w:t>
                  </w:r>
                  <w:r>
                    <w:rPr>
                      <w:rFonts w:ascii="Arial" w:eastAsia="ヒラギノ角ゴ Pro W3" w:hAnsi="Arial"/>
                      <w:sz w:val="24"/>
                    </w:rPr>
                    <w:t xml:space="preserve"> The LSS is providing this script to give you an idea as to the depth of analysis required in exams and examples of possible structures and hence to provide direction for your own learning.</w:t>
                  </w:r>
                </w:p>
                <w:p w14:paraId="02C8D0D6" w14:textId="77777777" w:rsidR="00647B91" w:rsidRDefault="00647B91" w:rsidP="00647B91">
                  <w:pPr>
                    <w:rPr>
                      <w:rFonts w:ascii="Arial" w:eastAsia="ヒラギノ角ゴ Pro W3" w:hAnsi="Arial"/>
                      <w:color w:val="000000"/>
                      <w:sz w:val="24"/>
                    </w:rPr>
                  </w:pPr>
                </w:p>
                <w:p w14:paraId="6D005271" w14:textId="77777777" w:rsidR="00647B91" w:rsidRDefault="00647B91" w:rsidP="00647B91">
                  <w:pPr>
                    <w:rPr>
                      <w:rFonts w:ascii="Times New Roman" w:eastAsia="Times New Roman" w:hAnsi="Times New Roman"/>
                      <w:sz w:val="20"/>
                      <w:lang w:val="en-AU" w:eastAsia="en-US" w:bidi="x-none"/>
                    </w:rPr>
                  </w:pPr>
                  <w:r>
                    <w:rPr>
                      <w:rFonts w:ascii="Arial" w:eastAsia="ヒラギノ角ゴ Pro W3" w:hAnsi="Arial"/>
                      <w:sz w:val="24"/>
                    </w:rPr>
                    <w:t xml:space="preserve">Please do not use them for any other purposes - otherwise you are putting your academic future at risk. </w:t>
                  </w:r>
                </w:p>
              </w:txbxContent>
            </v:textbox>
            <w10:wrap type="square" anchorx="page" anchory="page"/>
          </v:rect>
        </w:pict>
      </w:r>
      <w:r>
        <w:rPr>
          <w:noProof/>
          <w:lang w:val="en-AU" w:eastAsia="en-US"/>
        </w:rPr>
        <w:pict w14:anchorId="39409456">
          <v:rect id="_x0000_s1027" style="position:absolute;left:0;text-align:left;margin-left:81pt;margin-top:621pt;width:449.4pt;height:54pt;z-index:251660288;mso-wrap-distance-left:4pt;mso-wrap-distance-top:4pt;mso-wrap-distance-right:4pt;mso-wrap-distance-bottom:4pt;mso-position-horizontal-relative:page;mso-position-vertical-relative:page" coordsize="21600,21600">
            <v:fill o:detectmouseclick="t"/>
            <v:stroke joinstyle="round"/>
            <v:path arrowok="t" o:connectlocs="10800,10800"/>
            <v:textbox inset="3pt,3pt,3pt,3pt">
              <w:txbxContent>
                <w:p w14:paraId="3F8EB472" w14:textId="77777777" w:rsidR="00647B91" w:rsidRDefault="00647B91" w:rsidP="00647B91">
                  <w:pPr>
                    <w:jc w:val="center"/>
                    <w:rPr>
                      <w:rFonts w:ascii="Times New Roman" w:eastAsia="Times New Roman" w:hAnsi="Times New Roman"/>
                      <w:sz w:val="20"/>
                      <w:lang w:val="en-AU" w:eastAsia="en-US" w:bidi="x-none"/>
                    </w:rPr>
                  </w:pPr>
                  <w:r>
                    <w:rPr>
                      <w:rFonts w:ascii="Arial Bold Italic" w:eastAsia="ヒラギノ角ゴ Pro W3" w:hAnsi="Arial Bold Italic"/>
                      <w:sz w:val="24"/>
                    </w:rPr>
                    <w:t>This paper is provided solely for use by ANU Law Students. This paper may not be redistributed, resold, republished, uploaded, posted or transmitted in any manner.</w:t>
                  </w:r>
                </w:p>
              </w:txbxContent>
            </v:textbox>
            <w10:wrap type="square" anchorx="page" anchory="page"/>
          </v:rect>
        </w:pict>
      </w:r>
      <w:r>
        <w:rPr>
          <w:rFonts w:ascii="Trebuchet MS Bold" w:eastAsia="ヒラギノ角ゴ Pro W3" w:hAnsi="Trebuchet MS Bold"/>
          <w:sz w:val="48"/>
        </w:rPr>
        <w:t>Semeste</w:t>
      </w:r>
      <w:bookmarkStart w:id="0" w:name="_GoBack"/>
      <w:bookmarkEnd w:id="0"/>
      <w:r>
        <w:rPr>
          <w:rFonts w:ascii="Trebuchet MS Bold" w:eastAsia="ヒラギノ角ゴ Pro W3" w:hAnsi="Trebuchet MS Bold"/>
          <w:sz w:val="48"/>
        </w:rPr>
        <w:t>r 1</w:t>
      </w:r>
      <w:r>
        <w:rPr>
          <w:rFonts w:ascii="Trebuchet MS Bold" w:eastAsia="ヒラギノ角ゴ Pro W3" w:hAnsi="Trebuchet MS Bold"/>
          <w:sz w:val="48"/>
        </w:rPr>
        <w:t xml:space="preserve"> 201</w:t>
      </w:r>
      <w:r>
        <w:rPr>
          <w:rFonts w:ascii="Trebuchet MS Bold" w:eastAsia="ヒラギノ角ゴ Pro W3" w:hAnsi="Trebuchet MS Bold"/>
          <w:sz w:val="48"/>
        </w:rPr>
        <w:t>4</w:t>
      </w:r>
      <w:r>
        <w:br w:type="page"/>
      </w:r>
      <w:r w:rsidR="0077051C">
        <w:rPr>
          <w:b/>
        </w:rPr>
        <w:lastRenderedPageBreak/>
        <w:t>Australian Public Law –</w:t>
      </w:r>
      <w:r>
        <w:rPr>
          <w:b/>
        </w:rPr>
        <w:t xml:space="preserve"> Final Exam – Semester 1 2014 </w:t>
      </w:r>
    </w:p>
    <w:p w14:paraId="2F2D4A27" w14:textId="77777777" w:rsidR="00782C33" w:rsidRDefault="00C06134" w:rsidP="0077051C">
      <w:pPr>
        <w:rPr>
          <w:b/>
        </w:rPr>
      </w:pPr>
      <w:r>
        <w:rPr>
          <w:b/>
        </w:rPr>
        <w:t>High Distinction (80/100)</w:t>
      </w:r>
    </w:p>
    <w:p w14:paraId="77827D13" w14:textId="77777777" w:rsidR="0077051C" w:rsidRDefault="0077051C" w:rsidP="0077051C">
      <w:pPr>
        <w:rPr>
          <w:b/>
        </w:rPr>
      </w:pPr>
      <w:r>
        <w:rPr>
          <w:b/>
        </w:rPr>
        <w:t xml:space="preserve">Part I </w:t>
      </w:r>
      <w:r w:rsidR="00060B96">
        <w:rPr>
          <w:b/>
        </w:rPr>
        <w:t>(25%)</w:t>
      </w:r>
    </w:p>
    <w:p w14:paraId="640549F8" w14:textId="77777777" w:rsidR="0077051C" w:rsidRDefault="0077051C" w:rsidP="0077051C">
      <w:r>
        <w:t xml:space="preserve">The Appropriation Act passed through parliament appropriates money to the department of PM and cabinet under s 81/83 of the constitution. The High Court in </w:t>
      </w:r>
      <w:r>
        <w:rPr>
          <w:u w:val="single"/>
        </w:rPr>
        <w:t>Williams</w:t>
      </w:r>
      <w:r>
        <w:t xml:space="preserve"> has ruled that </w:t>
      </w:r>
      <w:proofErr w:type="spellStart"/>
      <w:r>
        <w:t>ss</w:t>
      </w:r>
      <w:proofErr w:type="spellEnd"/>
      <w:r>
        <w:t xml:space="preserve"> 81 and 83 do not confer a spending power on the government, and therefore the issue is whether a power exists that would allow the </w:t>
      </w:r>
      <w:r w:rsidR="00657DB2">
        <w:t>expenditure</w:t>
      </w:r>
      <w:r>
        <w:t xml:space="preserve"> of money on the advertisement.</w:t>
      </w:r>
    </w:p>
    <w:p w14:paraId="39F3A9E7" w14:textId="77777777" w:rsidR="0077051C" w:rsidRPr="00060B96" w:rsidRDefault="0077051C" w:rsidP="0077051C">
      <w:pPr>
        <w:rPr>
          <w:i/>
        </w:rPr>
      </w:pPr>
      <w:r w:rsidRPr="00060B96">
        <w:rPr>
          <w:i/>
        </w:rPr>
        <w:t>Is there a spending power?</w:t>
      </w:r>
    </w:p>
    <w:p w14:paraId="53C9D197" w14:textId="77777777" w:rsidR="0077051C" w:rsidRDefault="0077051C" w:rsidP="0077051C">
      <w:r>
        <w:t xml:space="preserve">French CJ in </w:t>
      </w:r>
      <w:r>
        <w:rPr>
          <w:u w:val="single"/>
        </w:rPr>
        <w:t>Williams</w:t>
      </w:r>
      <w:r>
        <w:t xml:space="preserve"> help that an executive power to spend money may come from a number of different sources – power necessary or incidental to the execution and maintenance of a law of the CW, the prerogative powers, the capacity of the executive to act as a legal person, and the nationhood power. If none of these are present, </w:t>
      </w:r>
      <w:r w:rsidR="00657DB2">
        <w:t>expenditure</w:t>
      </w:r>
      <w:r>
        <w:t xml:space="preserve"> must be supported by legislation, which is not the case here.</w:t>
      </w:r>
    </w:p>
    <w:p w14:paraId="007A836C" w14:textId="77777777" w:rsidR="00782C33" w:rsidRDefault="0077051C" w:rsidP="0077051C">
      <w:r>
        <w:t xml:space="preserve">As to the first of these </w:t>
      </w:r>
      <w:r w:rsidR="00657DB2">
        <w:t xml:space="preserve">powers, the CW may argue that the expenditure of money on the ad was incidental (it was certainly not necessary) to the execution of the </w:t>
      </w:r>
      <w:proofErr w:type="spellStart"/>
      <w:proofErr w:type="gramStart"/>
      <w:r w:rsidR="00657DB2">
        <w:t>OoA</w:t>
      </w:r>
      <w:proofErr w:type="spellEnd"/>
      <w:r w:rsidR="00657DB2">
        <w:t>(</w:t>
      </w:r>
      <w:proofErr w:type="gramEnd"/>
      <w:r w:rsidR="00657DB2">
        <w:t xml:space="preserve">TP) act. While related, it can hardly be said to be the case, since the expenditure does not give effect to or assist in the execution of any of the sections of the act, it simply raises awareness, which is quite a political endeavour. While the bestowing of honours may be a prerogative power of the crown, the expenditure of money on an ad (as above) is quite removed from the exercise of this power, and so the prerogative power would not apply. </w:t>
      </w:r>
      <w:proofErr w:type="spellStart"/>
      <w:r w:rsidR="00657DB2">
        <w:rPr>
          <w:u w:val="single"/>
        </w:rPr>
        <w:t>Bardolph</w:t>
      </w:r>
      <w:proofErr w:type="spellEnd"/>
      <w:r w:rsidR="00657DB2">
        <w:t xml:space="preserve"> held that the power of the CW to contract (as a legal person) is confined to activities “incidental to the ordinary and well recognised functions of government,” which is clearly not the case here. The final </w:t>
      </w:r>
      <w:proofErr w:type="gramStart"/>
      <w:r w:rsidR="00657DB2">
        <w:t>power which may give rise to expenditure</w:t>
      </w:r>
      <w:proofErr w:type="gramEnd"/>
      <w:r w:rsidR="00657DB2">
        <w:t xml:space="preserve"> is the nationhood power. While there may be an </w:t>
      </w:r>
      <w:r w:rsidR="00782C33">
        <w:t>argument</w:t>
      </w:r>
      <w:r w:rsidR="00657DB2">
        <w:t xml:space="preserve"> that the expenditure of money on this ad was an enterprise “peculiarly adapted to the government of a nation” (</w:t>
      </w:r>
      <w:proofErr w:type="spellStart"/>
      <w:r w:rsidR="00657DB2">
        <w:rPr>
          <w:u w:val="single"/>
        </w:rPr>
        <w:t>Pape</w:t>
      </w:r>
      <w:proofErr w:type="spellEnd"/>
      <w:r w:rsidR="00657DB2">
        <w:t xml:space="preserve">), Hayne J’s cautionary remarks in </w:t>
      </w:r>
      <w:r w:rsidR="00657DB2">
        <w:rPr>
          <w:u w:val="single"/>
        </w:rPr>
        <w:t>Williams</w:t>
      </w:r>
      <w:r w:rsidR="00782C33">
        <w:t xml:space="preserve"> </w:t>
      </w:r>
      <w:r w:rsidR="005965AE">
        <w:t xml:space="preserve">state </w:t>
      </w:r>
      <w:r w:rsidR="00782C33">
        <w:t>that while the Nationhood po</w:t>
      </w:r>
      <w:r w:rsidR="00657DB2">
        <w:t xml:space="preserve">wer may in some circumstances give rise to expenditure (as in </w:t>
      </w:r>
      <w:proofErr w:type="spellStart"/>
      <w:r w:rsidR="00657DB2">
        <w:rPr>
          <w:u w:val="single"/>
        </w:rPr>
        <w:t>Pape</w:t>
      </w:r>
      <w:proofErr w:type="spellEnd"/>
      <w:r w:rsidR="00657DB2">
        <w:t>), it should not be invoked to set aside the distribution of powers, “absent some national emergency or crisis.” The citizens of the nation</w:t>
      </w:r>
      <w:r w:rsidR="00782C33">
        <w:t>’s ignorance of the honours process can hardly be deemed a crisis, and therefore the nationhood power can probably not be invoked in this case to allow for spending not authorized by legislation.</w:t>
      </w:r>
    </w:p>
    <w:p w14:paraId="7710797B" w14:textId="77777777" w:rsidR="00782C33" w:rsidRPr="00782C33" w:rsidRDefault="00782C33" w:rsidP="0077051C">
      <w:pPr>
        <w:rPr>
          <w:color w:val="FF0000"/>
        </w:rPr>
      </w:pPr>
      <w:r>
        <w:t>Since no law was passed allowing for spending on the ad, Sven could probably challenge his company’s involvement on the above grounds.</w:t>
      </w:r>
      <w:r w:rsidR="00657DB2">
        <w:t xml:space="preserve"> </w:t>
      </w:r>
      <w:r>
        <w:rPr>
          <w:color w:val="FF0000"/>
        </w:rPr>
        <w:t>[Good answer 19/25]</w:t>
      </w:r>
    </w:p>
    <w:p w14:paraId="4E116D2D" w14:textId="77777777" w:rsidR="00591956" w:rsidRDefault="00591956"/>
    <w:p w14:paraId="0D9648B8" w14:textId="77777777" w:rsidR="00C06134" w:rsidRDefault="00C06134">
      <w:pPr>
        <w:rPr>
          <w:b/>
        </w:rPr>
      </w:pPr>
      <w:r>
        <w:rPr>
          <w:b/>
        </w:rPr>
        <w:t>Part II</w:t>
      </w:r>
      <w:r w:rsidR="00060B96">
        <w:rPr>
          <w:b/>
        </w:rPr>
        <w:t xml:space="preserve"> (50%)</w:t>
      </w:r>
    </w:p>
    <w:p w14:paraId="59706780" w14:textId="77777777" w:rsidR="00C06134" w:rsidRDefault="00C06134">
      <w:r>
        <w:t xml:space="preserve">The </w:t>
      </w:r>
      <w:proofErr w:type="spellStart"/>
      <w:proofErr w:type="gramStart"/>
      <w:r>
        <w:t>OoA</w:t>
      </w:r>
      <w:proofErr w:type="spellEnd"/>
      <w:r>
        <w:t>(</w:t>
      </w:r>
      <w:proofErr w:type="gramEnd"/>
      <w:r>
        <w:t xml:space="preserve">TP) Act (the “Act”) must first be passed under a valid head of power. This does not seem to present any issues, as the power to bestow honours has traditionally been a prerogative power, and s 51(xxxix) acting upon s 61 (where prerogative powers are now sourced, </w:t>
      </w:r>
      <w:r>
        <w:rPr>
          <w:u w:val="single"/>
        </w:rPr>
        <w:t>Tampa</w:t>
      </w:r>
      <w:r>
        <w:t>)</w:t>
      </w:r>
      <w:r w:rsidR="00124BC0">
        <w:rPr>
          <w:rStyle w:val="FootnoteReference"/>
        </w:rPr>
        <w:footnoteReference w:id="1"/>
      </w:r>
      <w:r>
        <w:t xml:space="preserve"> allows</w:t>
      </w:r>
      <w:r w:rsidR="00124BC0">
        <w:t xml:space="preserve"> the legislature to codify or repeal prerogative powers (</w:t>
      </w:r>
      <w:proofErr w:type="spellStart"/>
      <w:r w:rsidR="00124BC0">
        <w:rPr>
          <w:u w:val="single"/>
        </w:rPr>
        <w:t>DeKeyser’s</w:t>
      </w:r>
      <w:proofErr w:type="spellEnd"/>
      <w:r w:rsidR="00124BC0">
        <w:t xml:space="preserve">, </w:t>
      </w:r>
      <w:r w:rsidR="00124BC0">
        <w:rPr>
          <w:u w:val="single"/>
        </w:rPr>
        <w:t>Tampa</w:t>
      </w:r>
      <w:r w:rsidR="00124BC0">
        <w:t>). In this case, the Act may be seen as a codification of the prerogative, and therefore falls under a head of legislative power.</w:t>
      </w:r>
    </w:p>
    <w:p w14:paraId="483F7D3B" w14:textId="77777777" w:rsidR="00124BC0" w:rsidRDefault="00124BC0">
      <w:r>
        <w:lastRenderedPageBreak/>
        <w:t xml:space="preserve">Next, we must look to the content of the Act to see if it offends any </w:t>
      </w:r>
      <w:proofErr w:type="gramStart"/>
      <w:r>
        <w:t>principals which</w:t>
      </w:r>
      <w:proofErr w:type="gramEnd"/>
      <w:r>
        <w:t xml:space="preserve"> are central to our constitution. It seems that there may be an argument pertaining to the separation of powers doctrine.</w:t>
      </w:r>
    </w:p>
    <w:p w14:paraId="46B41135" w14:textId="77777777" w:rsidR="00124BC0" w:rsidRDefault="00124BC0">
      <w:pPr>
        <w:rPr>
          <w:u w:val="single"/>
        </w:rPr>
      </w:pPr>
      <w:r>
        <w:rPr>
          <w:u w:val="single"/>
        </w:rPr>
        <w:t>Separation of Powers</w:t>
      </w:r>
    </w:p>
    <w:p w14:paraId="0504F0C1" w14:textId="77777777" w:rsidR="00124BC0" w:rsidRDefault="00124BC0">
      <w:r>
        <w:t xml:space="preserve">Separation of powers is implied by the structure of the constitution and the way in which it vests power in three arms of government. One way in which the separation of powers may be violated is by granting non-judicial power to a judge of a </w:t>
      </w:r>
      <w:proofErr w:type="spellStart"/>
      <w:r>
        <w:t>Ch</w:t>
      </w:r>
      <w:proofErr w:type="spellEnd"/>
      <w:r>
        <w:t xml:space="preserve"> 3 court, in this case the advice given by the CJ of the High Court (the highest federal court in Australia) to the government regarding the bestowing of honours.</w:t>
      </w:r>
    </w:p>
    <w:p w14:paraId="2994CF11" w14:textId="77777777" w:rsidR="00124BC0" w:rsidRPr="00060B96" w:rsidRDefault="00060B96">
      <w:pPr>
        <w:rPr>
          <w:i/>
        </w:rPr>
      </w:pPr>
      <w:r>
        <w:rPr>
          <w:i/>
        </w:rPr>
        <w:t>Is the power judicial</w:t>
      </w:r>
      <w:r w:rsidR="00124BC0" w:rsidRPr="00060B96">
        <w:rPr>
          <w:i/>
        </w:rPr>
        <w:t>?</w:t>
      </w:r>
    </w:p>
    <w:p w14:paraId="4CD8866F" w14:textId="77777777" w:rsidR="00124BC0" w:rsidRDefault="00124BC0">
      <w:r>
        <w:rPr>
          <w:u w:val="single"/>
        </w:rPr>
        <w:t>Lim</w:t>
      </w:r>
      <w:r>
        <w:t xml:space="preserve"> held that a number of indicia of Judicial power exist, such as the ability to make binding and </w:t>
      </w:r>
      <w:proofErr w:type="spellStart"/>
      <w:r>
        <w:t>authorative</w:t>
      </w:r>
      <w:proofErr w:type="spellEnd"/>
      <w:r>
        <w:t xml:space="preserve"> decisions, to enforce those decisions, to determine existing rights and duties, to decide disputes about ‘matters,’ etc. It seems fairly obvious that the power given is not judicial, if </w:t>
      </w:r>
      <w:r w:rsidR="00060B96">
        <w:t>for no other reason than s 4 of the act classifying it as ‘approaching the CJ for an opinion.’</w:t>
      </w:r>
    </w:p>
    <w:p w14:paraId="29AA2033" w14:textId="77777777" w:rsidR="00060B96" w:rsidRPr="00060B96" w:rsidRDefault="00060B96">
      <w:pPr>
        <w:rPr>
          <w:i/>
        </w:rPr>
      </w:pPr>
      <w:r w:rsidRPr="00060B96">
        <w:rPr>
          <w:i/>
        </w:rPr>
        <w:t>Can the non-judicial power be given?</w:t>
      </w:r>
    </w:p>
    <w:p w14:paraId="7EA21020" w14:textId="77777777" w:rsidR="00060B96" w:rsidRDefault="00060B96">
      <w:r>
        <w:t>Since the power is not incidental to the exercise of judicial functions (</w:t>
      </w:r>
      <w:r>
        <w:rPr>
          <w:u w:val="single"/>
        </w:rPr>
        <w:t>Boilermakers</w:t>
      </w:r>
      <w:r>
        <w:t>), the only way this non-judicial power may be exercised is if the CJ of the High Court is a ‘</w:t>
      </w:r>
      <w:r w:rsidRPr="00060B96">
        <w:rPr>
          <w:i/>
        </w:rPr>
        <w:t xml:space="preserve">persona </w:t>
      </w:r>
      <w:proofErr w:type="spellStart"/>
      <w:r w:rsidRPr="00060B96">
        <w:rPr>
          <w:i/>
        </w:rPr>
        <w:t>designata</w:t>
      </w:r>
      <w:proofErr w:type="spellEnd"/>
      <w:r>
        <w:t>,’ that is, he/she gives his/her ‘opinion’ in their personal capacity (</w:t>
      </w:r>
      <w:r>
        <w:rPr>
          <w:u w:val="single"/>
        </w:rPr>
        <w:t>Drake</w:t>
      </w:r>
      <w:r>
        <w:t xml:space="preserve">). The first indication that the CJ is not a </w:t>
      </w:r>
      <w:r w:rsidRPr="00060B96">
        <w:rPr>
          <w:i/>
        </w:rPr>
        <w:t xml:space="preserve">persona </w:t>
      </w:r>
      <w:proofErr w:type="spellStart"/>
      <w:r w:rsidRPr="00060B96">
        <w:rPr>
          <w:i/>
        </w:rPr>
        <w:t>designata</w:t>
      </w:r>
      <w:proofErr w:type="spellEnd"/>
      <w:r>
        <w:t xml:space="preserve"> is that they are referred to not be name, but by </w:t>
      </w:r>
      <w:proofErr w:type="gramStart"/>
      <w:r>
        <w:t>their</w:t>
      </w:r>
      <w:proofErr w:type="gramEnd"/>
      <w:r>
        <w:t xml:space="preserve"> position as Chief Justice of the HCA (</w:t>
      </w:r>
      <w:r>
        <w:rPr>
          <w:u w:val="single"/>
        </w:rPr>
        <w:t>Hilton v Wells</w:t>
      </w:r>
      <w:r>
        <w:t>, a reference to a member of the court may be a reference to the court). However, the administrative nature of the power, and how removed it is from the judicial role of the CJ, may show an intention of the legislature to have the CJ act in their personal capacity (</w:t>
      </w:r>
      <w:r>
        <w:rPr>
          <w:u w:val="single"/>
        </w:rPr>
        <w:t>Hilton v Wells</w:t>
      </w:r>
      <w:r>
        <w:t xml:space="preserve">). </w:t>
      </w:r>
      <w:proofErr w:type="spellStart"/>
      <w:r>
        <w:rPr>
          <w:u w:val="single"/>
        </w:rPr>
        <w:t>Grollo</w:t>
      </w:r>
      <w:proofErr w:type="spellEnd"/>
      <w:r>
        <w:t xml:space="preserve"> held that no non-judicial power that is not incidental to judicial power </w:t>
      </w:r>
      <w:proofErr w:type="gramStart"/>
      <w:r>
        <w:t>can</w:t>
      </w:r>
      <w:proofErr w:type="gramEnd"/>
      <w:r>
        <w:t xml:space="preserve"> be conferred without the judge’s consent. It is unclear on the </w:t>
      </w:r>
      <w:proofErr w:type="gramStart"/>
      <w:r>
        <w:t>facts,</w:t>
      </w:r>
      <w:proofErr w:type="gramEnd"/>
      <w:r>
        <w:t xml:space="preserve"> however there is no indication that the CJ’s consent would have been sought (though a justice of the High Court would probably be aware of this need to consent and, given that the deliberation went ahead, it is likely that they did in fact consent). Then, the nature and </w:t>
      </w:r>
      <w:r w:rsidR="0095128D">
        <w:t>extent of the functions must not (</w:t>
      </w:r>
      <w:proofErr w:type="spellStart"/>
      <w:r w:rsidR="0095128D">
        <w:rPr>
          <w:u w:val="single"/>
        </w:rPr>
        <w:t>Grollo</w:t>
      </w:r>
      <w:proofErr w:type="spellEnd"/>
      <w:r w:rsidR="0095128D">
        <w:t>):</w:t>
      </w:r>
    </w:p>
    <w:p w14:paraId="2A51A665" w14:textId="77777777" w:rsidR="0095128D" w:rsidRDefault="0095128D" w:rsidP="0095128D">
      <w:pPr>
        <w:pStyle w:val="ListParagraph"/>
        <w:numPr>
          <w:ilvl w:val="0"/>
          <w:numId w:val="2"/>
        </w:numPr>
      </w:pPr>
      <w:r>
        <w:t>Hinder the Judge’s ability to act as a Judge (here it does not)</w:t>
      </w:r>
    </w:p>
    <w:p w14:paraId="19693375" w14:textId="77777777" w:rsidR="0095128D" w:rsidRDefault="0095128D" w:rsidP="0095128D">
      <w:pPr>
        <w:pStyle w:val="ListParagraph"/>
        <w:numPr>
          <w:ilvl w:val="0"/>
          <w:numId w:val="2"/>
        </w:numPr>
      </w:pPr>
      <w:r>
        <w:t>Hinder the ability of the Judge to perform judicial functions with integrity (this does not seem to pose problems)</w:t>
      </w:r>
    </w:p>
    <w:p w14:paraId="73E7BCE8" w14:textId="77777777" w:rsidR="0095128D" w:rsidRDefault="0095128D" w:rsidP="0095128D">
      <w:pPr>
        <w:pStyle w:val="ListParagraph"/>
        <w:numPr>
          <w:ilvl w:val="0"/>
          <w:numId w:val="2"/>
        </w:numPr>
      </w:pPr>
      <w:r>
        <w:t>Hinder public confidence in the judge or the judiciary.</w:t>
      </w:r>
    </w:p>
    <w:p w14:paraId="1C471355" w14:textId="77777777" w:rsidR="0095128D" w:rsidRDefault="0095128D" w:rsidP="0095128D">
      <w:r>
        <w:t>This last requirement is probably where the Act falls down, since the political nature of the decision about who should receive honours (demonstrated by the three criteria in s 5) would undermine public confidence in both the HCA and the CJ and compromise the separation of powers.</w:t>
      </w:r>
    </w:p>
    <w:p w14:paraId="6DBD71E0" w14:textId="77777777" w:rsidR="0095128D" w:rsidRDefault="0095128D" w:rsidP="0095128D">
      <w:pPr>
        <w:rPr>
          <w:color w:val="FF0000"/>
        </w:rPr>
      </w:pPr>
      <w:r>
        <w:t xml:space="preserve">For the above reasons, the act is likely to be invalid, or at least the participation of the CJ. </w:t>
      </w:r>
      <w:r>
        <w:rPr>
          <w:color w:val="FF0000"/>
        </w:rPr>
        <w:t>[Very strong response 42/50]</w:t>
      </w:r>
    </w:p>
    <w:p w14:paraId="17C6A1F4" w14:textId="77777777" w:rsidR="0095128D" w:rsidRDefault="0095128D" w:rsidP="0095128D">
      <w:pPr>
        <w:rPr>
          <w:b/>
        </w:rPr>
      </w:pPr>
    </w:p>
    <w:p w14:paraId="3A3FBF9E" w14:textId="77777777" w:rsidR="0095128D" w:rsidRDefault="0095128D" w:rsidP="0095128D">
      <w:pPr>
        <w:rPr>
          <w:b/>
        </w:rPr>
      </w:pPr>
      <w:r>
        <w:rPr>
          <w:b/>
        </w:rPr>
        <w:t>Part III (25%)</w:t>
      </w:r>
    </w:p>
    <w:p w14:paraId="3AA6F028" w14:textId="77777777" w:rsidR="0095128D" w:rsidRDefault="0095128D" w:rsidP="0095128D">
      <w:r>
        <w:t xml:space="preserve">The power to confer honours was a prerogative power, and as such, may still exist whether the Act is valid or not. If it is invalid, as the previous answer determined was most likely, there are no issues, </w:t>
      </w:r>
      <w:r>
        <w:lastRenderedPageBreak/>
        <w:t>and Dr Skate may be granted honours under the prerogative power. If it is valid, there may be some argument that the Act extinguished the power.</w:t>
      </w:r>
    </w:p>
    <w:p w14:paraId="31580D9E" w14:textId="77777777" w:rsidR="0095128D" w:rsidRDefault="0095128D" w:rsidP="0095128D">
      <w:pPr>
        <w:rPr>
          <w:i/>
        </w:rPr>
      </w:pPr>
      <w:r w:rsidRPr="0095128D">
        <w:rPr>
          <w:i/>
        </w:rPr>
        <w:t>Has the prerogative been extinguished?</w:t>
      </w:r>
    </w:p>
    <w:p w14:paraId="1A0F2D22" w14:textId="77777777" w:rsidR="0095128D" w:rsidRDefault="0095128D" w:rsidP="0095128D">
      <w:r>
        <w:t>The prerogative may be extinguished if it falls into disuse (</w:t>
      </w:r>
      <w:r>
        <w:rPr>
          <w:u w:val="single"/>
        </w:rPr>
        <w:t>Tampa</w:t>
      </w:r>
      <w:r>
        <w:t xml:space="preserve">, but clearly not the case here) or if it is codified or repealed by statute. There is a presumption that the prerogative will not be displaced absent express words or necessary implication (Mason J, </w:t>
      </w:r>
      <w:r>
        <w:rPr>
          <w:u w:val="single"/>
        </w:rPr>
        <w:t>Barton</w:t>
      </w:r>
      <w:r>
        <w:t xml:space="preserve">). The more central the prerogative to sovereignty, the clearer the words or stronger the implication must be (French CJ, </w:t>
      </w:r>
      <w:r>
        <w:rPr>
          <w:u w:val="single"/>
        </w:rPr>
        <w:t>Tampa</w:t>
      </w:r>
      <w:r>
        <w:t>)</w:t>
      </w:r>
      <w:r w:rsidR="00A12A17">
        <w:t xml:space="preserve">. There are no clear words extinguishing the prerogative power, though the words “The </w:t>
      </w:r>
      <w:proofErr w:type="spellStart"/>
      <w:r w:rsidR="00A12A17">
        <w:t>OoA</w:t>
      </w:r>
      <w:proofErr w:type="spellEnd"/>
      <w:r w:rsidR="00A12A17">
        <w:t xml:space="preserve"> </w:t>
      </w:r>
      <w:r w:rsidR="00A12A17">
        <w:rPr>
          <w:u w:val="single"/>
        </w:rPr>
        <w:t>is only</w:t>
      </w:r>
      <w:r w:rsidR="00A12A17">
        <w:t xml:space="preserve"> to be bestowed ... following a recommendation,” demonstrate an implication that the prerogative is displaced. The power to grant </w:t>
      </w:r>
      <w:proofErr w:type="gramStart"/>
      <w:r w:rsidR="00A12A17">
        <w:t>honours is</w:t>
      </w:r>
      <w:proofErr w:type="gramEnd"/>
      <w:r w:rsidR="00A12A17">
        <w:t xml:space="preserve"> not particularly central to sovereignty (as opposed to war-making or exclusion of aliens, for example) and so it is likely that the necessary implication present in “is only” is strong enough to displace the prerogative.</w:t>
      </w:r>
    </w:p>
    <w:p w14:paraId="534336CF" w14:textId="77777777" w:rsidR="00A12A17" w:rsidRPr="00A12A17" w:rsidRDefault="00A12A17" w:rsidP="0095128D">
      <w:pPr>
        <w:rPr>
          <w:color w:val="FF0000"/>
        </w:rPr>
      </w:pPr>
      <w:r>
        <w:t xml:space="preserve">Therefore, the PM must follow the process provided in the Act (if it is valid). </w:t>
      </w:r>
      <w:r>
        <w:rPr>
          <w:color w:val="FF0000"/>
        </w:rPr>
        <w:t>[Good overall 19/25]</w:t>
      </w:r>
      <w:r w:rsidR="006640E6">
        <w:rPr>
          <w:color w:val="FF0000"/>
        </w:rPr>
        <w:t xml:space="preserve"> </w:t>
      </w:r>
    </w:p>
    <w:sectPr w:rsidR="00A12A17" w:rsidRPr="00A12A17" w:rsidSect="00591956">
      <w:footerReference w:type="even" r:id="rId10"/>
      <w:footerReference w:type="default" r:id="rId11"/>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8374C2F" w14:textId="77777777" w:rsidR="001E125F" w:rsidRDefault="001E125F" w:rsidP="00C06134">
      <w:pPr>
        <w:spacing w:after="0" w:line="240" w:lineRule="auto"/>
      </w:pPr>
      <w:r>
        <w:separator/>
      </w:r>
    </w:p>
  </w:endnote>
  <w:endnote w:type="continuationSeparator" w:id="0">
    <w:p w14:paraId="7B5EB580" w14:textId="77777777" w:rsidR="001E125F" w:rsidRDefault="001E125F" w:rsidP="00C0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Trebuchet MS Bold">
    <w:panose1 w:val="020B0703020202020204"/>
    <w:charset w:val="00"/>
    <w:family w:val="auto"/>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Italic">
    <w:panose1 w:val="020B0704020202090204"/>
    <w:charset w:val="00"/>
    <w:family w:val="auto"/>
    <w:pitch w:val="variable"/>
    <w:sig w:usb0="E0000AFF" w:usb1="00007843" w:usb2="00000001"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A506F" w14:textId="77777777" w:rsidR="00647B91" w:rsidRDefault="00647B91" w:rsidP="008204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C5D8E" w14:textId="77777777" w:rsidR="00647B91" w:rsidRDefault="00647B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A53DC" w14:textId="77777777" w:rsidR="00647B91" w:rsidRDefault="00647B91" w:rsidP="00647B91">
    <w:pPr>
      <w:pStyle w:val="Footer"/>
    </w:pPr>
    <w:r>
      <w:rPr>
        <w:rStyle w:val="PageNumber"/>
      </w:rPr>
      <w:tab/>
    </w:r>
    <w:r>
      <w:rPr>
        <w:rFonts w:ascii="Times New Roman" w:hAnsi="Times New Roman" w:cs="Times New Roman"/>
        <w:lang w:val="en-US"/>
      </w:rPr>
      <w:t xml:space="preserve">Page </w:t>
    </w:r>
    <w:r>
      <w:rPr>
        <w:rFonts w:ascii="Times New Roman" w:hAnsi="Times New Roman" w:cs="Times New Roman"/>
        <w:lang w:val="en-US"/>
      </w:rPr>
      <w:fldChar w:fldCharType="begin"/>
    </w:r>
    <w:r>
      <w:rPr>
        <w:rFonts w:ascii="Times New Roman" w:hAnsi="Times New Roman" w:cs="Times New Roman"/>
        <w:lang w:val="en-US"/>
      </w:rPr>
      <w:instrText xml:space="preserve"> PAGE </w:instrText>
    </w:r>
    <w:r>
      <w:rPr>
        <w:rFonts w:ascii="Times New Roman" w:hAnsi="Times New Roman" w:cs="Times New Roman"/>
        <w:lang w:val="en-US"/>
      </w:rPr>
      <w:fldChar w:fldCharType="separate"/>
    </w:r>
    <w:r>
      <w:rPr>
        <w:rFonts w:ascii="Times New Roman" w:hAnsi="Times New Roman" w:cs="Times New Roman"/>
        <w:noProof/>
        <w:lang w:val="en-US"/>
      </w:rPr>
      <w:t>1</w:t>
    </w:r>
    <w:r>
      <w:rPr>
        <w:rFonts w:ascii="Times New Roman" w:hAnsi="Times New Roman" w:cs="Times New Roman"/>
        <w:lang w:val="en-US"/>
      </w:rPr>
      <w:fldChar w:fldCharType="end"/>
    </w:r>
    <w:r>
      <w:rPr>
        <w:rFonts w:ascii="Times New Roman" w:hAnsi="Times New Roman" w:cs="Times New Roman"/>
        <w:lang w:val="en-US"/>
      </w:rPr>
      <w:t xml:space="preserve"> of </w:t>
    </w:r>
    <w:r>
      <w:rPr>
        <w:rFonts w:ascii="Times New Roman" w:hAnsi="Times New Roman" w:cs="Times New Roman"/>
        <w:lang w:val="en-US"/>
      </w:rPr>
      <w:fldChar w:fldCharType="begin"/>
    </w:r>
    <w:r>
      <w:rPr>
        <w:rFonts w:ascii="Times New Roman" w:hAnsi="Times New Roman" w:cs="Times New Roman"/>
        <w:lang w:val="en-US"/>
      </w:rPr>
      <w:instrText xml:space="preserve"> NUMPAGES </w:instrText>
    </w:r>
    <w:r>
      <w:rPr>
        <w:rFonts w:ascii="Times New Roman" w:hAnsi="Times New Roman" w:cs="Times New Roman"/>
        <w:lang w:val="en-US"/>
      </w:rPr>
      <w:fldChar w:fldCharType="separate"/>
    </w:r>
    <w:r>
      <w:rPr>
        <w:rFonts w:ascii="Times New Roman" w:hAnsi="Times New Roman" w:cs="Times New Roman"/>
        <w:noProof/>
        <w:lang w:val="en-US"/>
      </w:rPr>
      <w:t>4</w:t>
    </w:r>
    <w:r>
      <w:rPr>
        <w:rFonts w:ascii="Times New Roman" w:hAnsi="Times New Roman" w:cs="Times New Roman"/>
        <w:lang w:val="en-US"/>
      </w:rPr>
      <w:fldChar w:fldCharType="end"/>
    </w:r>
  </w:p>
  <w:p w14:paraId="1B5FEA4D" w14:textId="77777777" w:rsidR="00647B91" w:rsidRDefault="00647B91" w:rsidP="00647B91">
    <w:pPr>
      <w:pStyle w:val="Footer1"/>
      <w:jc w:val="center"/>
    </w:pPr>
    <w:r>
      <w:t>ANU Law Students’ Society</w:t>
    </w:r>
  </w:p>
  <w:p w14:paraId="49AC5B79" w14:textId="77777777" w:rsidR="00647B91" w:rsidRDefault="00647B91" w:rsidP="00647B91">
    <w:pPr>
      <w:pStyle w:val="Footer1"/>
      <w:jc w:val="center"/>
      <w:rPr>
        <w:rFonts w:eastAsia="Times New Roman"/>
        <w:color w:val="auto"/>
        <w:sz w:val="20"/>
        <w:lang w:val="en-AU" w:eastAsia="en-US" w:bidi="x-none"/>
      </w:rPr>
    </w:pPr>
    <w:r>
      <w:t>© Copyright 2013, All Rights Reserved</w:t>
    </w:r>
  </w:p>
  <w:p w14:paraId="743E0014" w14:textId="77777777" w:rsidR="00647B91" w:rsidRDefault="00647B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D8776D0" w14:textId="77777777" w:rsidR="001E125F" w:rsidRDefault="001E125F" w:rsidP="00C06134">
      <w:pPr>
        <w:spacing w:after="0" w:line="240" w:lineRule="auto"/>
      </w:pPr>
      <w:r>
        <w:separator/>
      </w:r>
    </w:p>
  </w:footnote>
  <w:footnote w:type="continuationSeparator" w:id="0">
    <w:p w14:paraId="2381BC6B" w14:textId="77777777" w:rsidR="001E125F" w:rsidRDefault="001E125F" w:rsidP="00C06134">
      <w:pPr>
        <w:spacing w:after="0" w:line="240" w:lineRule="auto"/>
      </w:pPr>
      <w:r>
        <w:continuationSeparator/>
      </w:r>
    </w:p>
  </w:footnote>
  <w:footnote w:id="1">
    <w:p w14:paraId="3258E476" w14:textId="77777777" w:rsidR="00124BC0" w:rsidRPr="00124BC0" w:rsidRDefault="00124BC0">
      <w:pPr>
        <w:pStyle w:val="FootnoteText"/>
        <w:rPr>
          <w:color w:val="1F497D" w:themeColor="text2"/>
        </w:rPr>
      </w:pPr>
      <w:r>
        <w:rPr>
          <w:rStyle w:val="FootnoteReference"/>
        </w:rPr>
        <w:footnoteRef/>
      </w:r>
      <w:r>
        <w:t xml:space="preserve"> And the prerogative’s original common law source </w:t>
      </w:r>
      <w:r>
        <w:rPr>
          <w:color w:val="1F497D" w:themeColor="text2"/>
        </w:rPr>
        <w:t>[inserted in exam booklet margins]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2567C17"/>
    <w:multiLevelType w:val="hybridMultilevel"/>
    <w:tmpl w:val="6ED8BF94"/>
    <w:lvl w:ilvl="0" w:tplc="DE3E8C3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D02311F"/>
    <w:multiLevelType w:val="hybridMultilevel"/>
    <w:tmpl w:val="08E4622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073"/>
  </w:hdrShapeDefaults>
  <w:footnotePr>
    <w:numFmt w:val="chicago"/>
    <w:footnote w:id="-1"/>
    <w:footnote w:id="0"/>
  </w:footnotePr>
  <w:endnotePr>
    <w:endnote w:id="-1"/>
    <w:endnote w:id="0"/>
  </w:endnotePr>
  <w:compat>
    <w:compatSetting w:name="compatibilityMode" w:uri="http://schemas.microsoft.com/office/word" w:val="12"/>
  </w:compat>
  <w:rsids>
    <w:rsidRoot w:val="0077051C"/>
    <w:rsid w:val="00060B96"/>
    <w:rsid w:val="00124BC0"/>
    <w:rsid w:val="001E125F"/>
    <w:rsid w:val="00591956"/>
    <w:rsid w:val="005965AE"/>
    <w:rsid w:val="00647B91"/>
    <w:rsid w:val="00657DB2"/>
    <w:rsid w:val="006640E6"/>
    <w:rsid w:val="0077051C"/>
    <w:rsid w:val="00782C33"/>
    <w:rsid w:val="0095128D"/>
    <w:rsid w:val="00A12A17"/>
    <w:rsid w:val="00C061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1"/>
    </o:shapelayout>
  </w:shapeDefaults>
  <w:decimalSymbol w:val="."/>
  <w:listSeparator w:val=","/>
  <w14:docId w14:val="0C15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1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51C"/>
    <w:pPr>
      <w:ind w:left="720"/>
      <w:contextualSpacing/>
    </w:pPr>
  </w:style>
  <w:style w:type="paragraph" w:styleId="FootnoteText">
    <w:name w:val="footnote text"/>
    <w:basedOn w:val="Normal"/>
    <w:link w:val="FootnoteTextChar"/>
    <w:uiPriority w:val="99"/>
    <w:unhideWhenUsed/>
    <w:rsid w:val="00C06134"/>
    <w:pPr>
      <w:spacing w:after="0" w:line="240" w:lineRule="auto"/>
    </w:pPr>
    <w:rPr>
      <w:sz w:val="20"/>
      <w:szCs w:val="20"/>
    </w:rPr>
  </w:style>
  <w:style w:type="character" w:customStyle="1" w:styleId="FootnoteTextChar">
    <w:name w:val="Footnote Text Char"/>
    <w:basedOn w:val="DefaultParagraphFont"/>
    <w:link w:val="FootnoteText"/>
    <w:uiPriority w:val="99"/>
    <w:rsid w:val="00C06134"/>
    <w:rPr>
      <w:sz w:val="20"/>
      <w:szCs w:val="20"/>
    </w:rPr>
  </w:style>
  <w:style w:type="character" w:styleId="FootnoteReference">
    <w:name w:val="footnote reference"/>
    <w:basedOn w:val="DefaultParagraphFont"/>
    <w:uiPriority w:val="99"/>
    <w:semiHidden/>
    <w:unhideWhenUsed/>
    <w:rsid w:val="00C06134"/>
    <w:rPr>
      <w:vertAlign w:val="superscript"/>
    </w:rPr>
  </w:style>
  <w:style w:type="paragraph" w:styleId="Footer">
    <w:name w:val="footer"/>
    <w:basedOn w:val="Normal"/>
    <w:link w:val="FooterChar"/>
    <w:uiPriority w:val="99"/>
    <w:unhideWhenUsed/>
    <w:rsid w:val="00647B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47B91"/>
  </w:style>
  <w:style w:type="character" w:styleId="PageNumber">
    <w:name w:val="page number"/>
    <w:basedOn w:val="DefaultParagraphFont"/>
    <w:uiPriority w:val="99"/>
    <w:semiHidden/>
    <w:unhideWhenUsed/>
    <w:rsid w:val="00647B91"/>
  </w:style>
  <w:style w:type="paragraph" w:styleId="Header">
    <w:name w:val="header"/>
    <w:basedOn w:val="Normal"/>
    <w:link w:val="HeaderChar"/>
    <w:uiPriority w:val="99"/>
    <w:unhideWhenUsed/>
    <w:rsid w:val="00647B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47B91"/>
  </w:style>
  <w:style w:type="paragraph" w:customStyle="1" w:styleId="Footer1">
    <w:name w:val="Footer1"/>
    <w:rsid w:val="00647B91"/>
    <w:pPr>
      <w:tabs>
        <w:tab w:val="center" w:pos="4513"/>
        <w:tab w:val="right" w:pos="9026"/>
      </w:tabs>
      <w:spacing w:after="0"/>
    </w:pPr>
    <w:rPr>
      <w:rFonts w:ascii="Times New Roman" w:eastAsia="ヒラギノ角ゴ Pro W3" w:hAnsi="Times New Roman" w:cs="Times New Roman"/>
      <w:color w:val="00000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B9E9F-3246-A24C-A790-8923B38C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1105</Words>
  <Characters>6303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dc:creator>
  <cp:lastModifiedBy>Albert Patajo</cp:lastModifiedBy>
  <cp:revision>4</cp:revision>
  <dcterms:created xsi:type="dcterms:W3CDTF">2015-01-13T03:16:00Z</dcterms:created>
  <dcterms:modified xsi:type="dcterms:W3CDTF">2015-02-03T10:18:00Z</dcterms:modified>
</cp:coreProperties>
</file>