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B36B7" w14:textId="77777777" w:rsidR="00DC337B" w:rsidRPr="00DC337B" w:rsidRDefault="0004234E" w:rsidP="00DC337B">
      <w:pPr>
        <w:spacing w:line="240" w:lineRule="auto"/>
        <w:rPr>
          <w:rFonts w:ascii="Times" w:hAnsi="Times"/>
          <w:sz w:val="20"/>
          <w:szCs w:val="20"/>
        </w:rPr>
      </w:pPr>
      <w:r>
        <w:rPr>
          <w:noProof/>
          <w:lang w:val="en-US"/>
        </w:rPr>
        <w:drawing>
          <wp:anchor distT="0" distB="0" distL="114300" distR="114300" simplePos="0" relativeHeight="251660800" behindDoc="0" locked="0" layoutInCell="1" allowOverlap="1" wp14:anchorId="382A0D6D" wp14:editId="4051DD59">
            <wp:simplePos x="0" y="0"/>
            <wp:positionH relativeFrom="column">
              <wp:posOffset>685800</wp:posOffset>
            </wp:positionH>
            <wp:positionV relativeFrom="paragraph">
              <wp:posOffset>-342900</wp:posOffset>
            </wp:positionV>
            <wp:extent cx="3543300" cy="2740025"/>
            <wp:effectExtent l="0" t="0" r="12700" b="3175"/>
            <wp:wrapSquare wrapText="bothSides"/>
            <wp:docPr id="8" name="Picture 8" descr="http://profile.ak.fbcdn.net/profile-ak-snc1/object3/702/20/n2255409378_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file.ak.fbcdn.net/profile-ak-snc1/object3/702/20/n2255409378_822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3300" cy="274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ED568" w14:textId="77777777" w:rsidR="003F7F95" w:rsidRDefault="003F7F95" w:rsidP="003F7F95">
      <w:pPr>
        <w:spacing w:after="200"/>
        <w:ind w:left="1434" w:hanging="357"/>
        <w:rPr>
          <w:b/>
          <w:bCs/>
        </w:rPr>
      </w:pPr>
    </w:p>
    <w:p w14:paraId="114DE933" w14:textId="77777777" w:rsidR="003F7F95" w:rsidRDefault="003F7F95" w:rsidP="003F7F95">
      <w:pPr>
        <w:rPr>
          <w:b/>
          <w:bCs/>
        </w:rPr>
      </w:pPr>
    </w:p>
    <w:p w14:paraId="74F80B16" w14:textId="77777777" w:rsidR="003F7F95" w:rsidRDefault="003F7F95" w:rsidP="003F7F95">
      <w:pPr>
        <w:rPr>
          <w:b/>
          <w:bCs/>
        </w:rPr>
      </w:pPr>
    </w:p>
    <w:p w14:paraId="6ACE48B8" w14:textId="77777777" w:rsidR="003F7F95" w:rsidRDefault="003F7F95" w:rsidP="003F7F95">
      <w:pPr>
        <w:rPr>
          <w:b/>
          <w:bCs/>
        </w:rPr>
      </w:pPr>
    </w:p>
    <w:p w14:paraId="06C8B342" w14:textId="77777777" w:rsidR="003F7F95" w:rsidRDefault="003F7F95" w:rsidP="003F7F95">
      <w:pPr>
        <w:rPr>
          <w:b/>
          <w:bCs/>
        </w:rPr>
      </w:pPr>
    </w:p>
    <w:p w14:paraId="5C919A8E" w14:textId="77777777" w:rsidR="003F7F95" w:rsidRDefault="003F7F95" w:rsidP="003F7F95">
      <w:pPr>
        <w:rPr>
          <w:b/>
          <w:bCs/>
        </w:rPr>
      </w:pPr>
    </w:p>
    <w:p w14:paraId="58E32089" w14:textId="77777777" w:rsidR="003F7F95" w:rsidRDefault="003F7F95" w:rsidP="003F7F95">
      <w:pPr>
        <w:rPr>
          <w:b/>
          <w:bCs/>
        </w:rPr>
      </w:pPr>
    </w:p>
    <w:p w14:paraId="1C6417A4" w14:textId="77777777" w:rsidR="003F7F95" w:rsidRDefault="003F7F95" w:rsidP="003F7F95">
      <w:pPr>
        <w:rPr>
          <w:b/>
          <w:bCs/>
        </w:rPr>
      </w:pPr>
    </w:p>
    <w:p w14:paraId="46EBA952" w14:textId="77777777" w:rsidR="003F7F95" w:rsidRDefault="003F7F95" w:rsidP="003F7F95">
      <w:pPr>
        <w:rPr>
          <w:b/>
          <w:bCs/>
        </w:rPr>
      </w:pPr>
    </w:p>
    <w:p w14:paraId="59CB9836" w14:textId="77777777" w:rsidR="003F7F95" w:rsidRDefault="003F7F95" w:rsidP="003F7F95">
      <w:pPr>
        <w:rPr>
          <w:b/>
          <w:bCs/>
        </w:rPr>
      </w:pPr>
    </w:p>
    <w:p w14:paraId="729B3F42" w14:textId="77777777" w:rsidR="003F7F95" w:rsidRDefault="003F7F95" w:rsidP="003F7F95">
      <w:pPr>
        <w:rPr>
          <w:b/>
          <w:bCs/>
        </w:rPr>
      </w:pPr>
    </w:p>
    <w:p w14:paraId="48D6B98B" w14:textId="77777777" w:rsidR="003F7F95" w:rsidRDefault="003F7F95" w:rsidP="003F7F95">
      <w:pPr>
        <w:rPr>
          <w:b/>
          <w:bCs/>
        </w:rPr>
      </w:pPr>
    </w:p>
    <w:p w14:paraId="7098D8FE" w14:textId="77777777" w:rsidR="003F7F95" w:rsidRPr="003F7F95" w:rsidRDefault="005707AA" w:rsidP="003F7F95">
      <w:pPr>
        <w:jc w:val="center"/>
        <w:rPr>
          <w:rFonts w:ascii="Trebuchet MS" w:hAnsi="Trebuchet MS"/>
          <w:b/>
          <w:bCs/>
          <w:sz w:val="48"/>
          <w:szCs w:val="48"/>
        </w:rPr>
      </w:pPr>
      <w:r>
        <w:rPr>
          <w:rFonts w:ascii="Trebuchet MS" w:hAnsi="Trebuchet MS"/>
          <w:b/>
          <w:bCs/>
          <w:sz w:val="48"/>
          <w:szCs w:val="48"/>
        </w:rPr>
        <w:t>LAWS</w:t>
      </w:r>
      <w:r w:rsidR="00B76BBB">
        <w:rPr>
          <w:rFonts w:ascii="Trebuchet MS" w:hAnsi="Trebuchet MS"/>
          <w:b/>
          <w:bCs/>
          <w:sz w:val="48"/>
          <w:szCs w:val="48"/>
        </w:rPr>
        <w:t>1205</w:t>
      </w:r>
    </w:p>
    <w:p w14:paraId="32C97DC3" w14:textId="77777777" w:rsidR="00EA4CA4" w:rsidRDefault="006C7005" w:rsidP="003F7F95">
      <w:pPr>
        <w:jc w:val="center"/>
        <w:rPr>
          <w:rFonts w:ascii="Trebuchet MS" w:hAnsi="Trebuchet MS"/>
          <w:b/>
          <w:bCs/>
          <w:sz w:val="48"/>
          <w:szCs w:val="48"/>
        </w:rPr>
      </w:pPr>
      <w:r>
        <w:rPr>
          <w:rFonts w:ascii="Trebuchet MS" w:hAnsi="Trebuchet MS"/>
          <w:b/>
          <w:bCs/>
          <w:sz w:val="48"/>
          <w:szCs w:val="48"/>
        </w:rPr>
        <w:t>Australian Public Law</w:t>
      </w:r>
      <w:bookmarkStart w:id="0" w:name="_GoBack"/>
      <w:bookmarkEnd w:id="0"/>
    </w:p>
    <w:p w14:paraId="76EA747C" w14:textId="77777777" w:rsidR="003F7F95" w:rsidRPr="003F7F95" w:rsidRDefault="00DC337B" w:rsidP="003F7F95">
      <w:pPr>
        <w:jc w:val="center"/>
        <w:rPr>
          <w:rFonts w:ascii="Trebuchet MS" w:hAnsi="Trebuchet MS"/>
          <w:b/>
          <w:bCs/>
          <w:sz w:val="48"/>
          <w:szCs w:val="48"/>
        </w:rPr>
      </w:pPr>
      <w:r>
        <w:rPr>
          <w:rFonts w:ascii="Trebuchet MS" w:hAnsi="Trebuchet MS"/>
          <w:b/>
          <w:bCs/>
          <w:sz w:val="48"/>
          <w:szCs w:val="48"/>
        </w:rPr>
        <w:t>1st</w:t>
      </w:r>
      <w:r w:rsidR="00C00F10">
        <w:rPr>
          <w:rFonts w:ascii="Trebuchet MS" w:hAnsi="Trebuchet MS"/>
          <w:b/>
          <w:bCs/>
          <w:sz w:val="48"/>
          <w:szCs w:val="48"/>
        </w:rPr>
        <w:t xml:space="preserve"> </w:t>
      </w:r>
      <w:r w:rsidR="003F7F95" w:rsidRPr="003F7F95">
        <w:rPr>
          <w:rFonts w:ascii="Trebuchet MS" w:hAnsi="Trebuchet MS"/>
          <w:b/>
          <w:bCs/>
          <w:sz w:val="48"/>
          <w:szCs w:val="48"/>
        </w:rPr>
        <w:t>Semester</w:t>
      </w:r>
      <w:r w:rsidR="00021444">
        <w:rPr>
          <w:rFonts w:ascii="Trebuchet MS" w:hAnsi="Trebuchet MS"/>
          <w:b/>
          <w:bCs/>
          <w:sz w:val="48"/>
          <w:szCs w:val="48"/>
        </w:rPr>
        <w:t xml:space="preserve"> </w:t>
      </w:r>
      <w:r>
        <w:rPr>
          <w:rFonts w:ascii="Trebuchet MS" w:hAnsi="Trebuchet MS"/>
          <w:b/>
          <w:bCs/>
          <w:sz w:val="48"/>
          <w:szCs w:val="48"/>
        </w:rPr>
        <w:t>2010</w:t>
      </w:r>
    </w:p>
    <w:p w14:paraId="1B83A04D" w14:textId="77777777" w:rsidR="003F7F95" w:rsidRPr="003F7F95" w:rsidRDefault="003F7F95" w:rsidP="003F7F95">
      <w:pPr>
        <w:rPr>
          <w:rFonts w:ascii="Trebuchet MS" w:hAnsi="Trebuchet MS"/>
        </w:rPr>
      </w:pPr>
    </w:p>
    <w:p w14:paraId="23A96924" w14:textId="77777777" w:rsidR="00B76BBB" w:rsidRDefault="0004234E" w:rsidP="00B76BBB">
      <w:pPr>
        <w:spacing w:line="360" w:lineRule="auto"/>
        <w:rPr>
          <w:sz w:val="22"/>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1FA57580" wp14:editId="299984FF">
                <wp:simplePos x="0" y="0"/>
                <wp:positionH relativeFrom="column">
                  <wp:posOffset>114300</wp:posOffset>
                </wp:positionH>
                <wp:positionV relativeFrom="paragraph">
                  <wp:posOffset>33655</wp:posOffset>
                </wp:positionV>
                <wp:extent cx="5669280" cy="2983230"/>
                <wp:effectExtent l="0" t="0" r="762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983230"/>
                        </a:xfrm>
                        <a:prstGeom prst="rect">
                          <a:avLst/>
                        </a:prstGeom>
                        <a:solidFill>
                          <a:srgbClr val="FFFFFF"/>
                        </a:solidFill>
                        <a:ln w="9525">
                          <a:solidFill>
                            <a:srgbClr val="000000"/>
                          </a:solidFill>
                          <a:miter lim="800000"/>
                          <a:headEnd/>
                          <a:tailEnd/>
                        </a:ln>
                      </wps:spPr>
                      <wps:txbx>
                        <w:txbxContent>
                          <w:p w14:paraId="154CC1B6" w14:textId="77777777" w:rsidR="00DC337B" w:rsidRPr="003F7F95" w:rsidRDefault="00DC337B" w:rsidP="003F7F95">
                            <w:pPr>
                              <w:rPr>
                                <w:rFonts w:ascii="Arial" w:hAnsi="Arial" w:cs="Arial"/>
                                <w:b/>
                              </w:rPr>
                            </w:pPr>
                            <w:r w:rsidRPr="003F7F95">
                              <w:rPr>
                                <w:rFonts w:ascii="Arial" w:hAnsi="Arial" w:cs="Arial"/>
                                <w:b/>
                              </w:rPr>
                              <w:t>How to Use this Script:</w:t>
                            </w:r>
                          </w:p>
                          <w:p w14:paraId="3CB02AE6" w14:textId="77777777" w:rsidR="00DC337B" w:rsidRDefault="00DC337B" w:rsidP="003F7F95">
                            <w:pPr>
                              <w:rPr>
                                <w:rFonts w:ascii="Arial" w:hAnsi="Arial" w:cs="Arial"/>
                              </w:rPr>
                            </w:pPr>
                            <w:r>
                              <w:rPr>
                                <w:rFonts w:ascii="Arial" w:hAnsi="Arial" w:cs="Arial"/>
                              </w:rPr>
                              <w:t>These s</w:t>
                            </w:r>
                            <w:r w:rsidRPr="003F7F95">
                              <w:rPr>
                                <w:rFonts w:ascii="Arial" w:hAnsi="Arial" w:cs="Arial"/>
                              </w:rPr>
                              <w:t xml:space="preserve">ample </w:t>
                            </w:r>
                            <w:r>
                              <w:rPr>
                                <w:rFonts w:ascii="Arial" w:hAnsi="Arial" w:cs="Arial"/>
                              </w:rPr>
                              <w:t>e</w:t>
                            </w:r>
                            <w:r w:rsidRPr="003F7F95">
                              <w:rPr>
                                <w:rFonts w:ascii="Arial" w:hAnsi="Arial" w:cs="Arial"/>
                              </w:rPr>
                              <w:t xml:space="preserve">xam </w:t>
                            </w:r>
                            <w:r>
                              <w:rPr>
                                <w:rFonts w:ascii="Arial" w:hAnsi="Arial" w:cs="Arial"/>
                              </w:rPr>
                              <w:t>a</w:t>
                            </w:r>
                            <w:r w:rsidRPr="003F7F95">
                              <w:rPr>
                                <w:rFonts w:ascii="Arial" w:hAnsi="Arial" w:cs="Arial"/>
                              </w:rPr>
                              <w:t>nswers are based on proble</w:t>
                            </w:r>
                            <w:r>
                              <w:rPr>
                                <w:rFonts w:ascii="Arial" w:hAnsi="Arial" w:cs="Arial"/>
                              </w:rPr>
                              <w:t xml:space="preserve">ms done in past years. </w:t>
                            </w:r>
                            <w:r w:rsidRPr="003F7F95">
                              <w:rPr>
                                <w:rFonts w:ascii="Arial" w:hAnsi="Arial" w:cs="Arial"/>
                              </w:rPr>
                              <w:t>Since these answers were written</w:t>
                            </w:r>
                            <w:r>
                              <w:rPr>
                                <w:rFonts w:ascii="Arial" w:hAnsi="Arial" w:cs="Arial"/>
                              </w:rPr>
                              <w:t>,</w:t>
                            </w:r>
                            <w:r w:rsidRPr="003F7F95">
                              <w:rPr>
                                <w:rFonts w:ascii="Arial" w:hAnsi="Arial" w:cs="Arial"/>
                              </w:rPr>
                              <w:t xml:space="preserve"> the law has changed and the subject may have changed. Additionally, the student may have made some mistakes in their answer, despite their good mark. </w:t>
                            </w:r>
                          </w:p>
                          <w:p w14:paraId="4D6A93D8" w14:textId="77777777" w:rsidR="00DC337B" w:rsidRDefault="00DC337B" w:rsidP="003F7F95">
                            <w:pPr>
                              <w:rPr>
                                <w:rFonts w:ascii="Arial" w:hAnsi="Arial" w:cs="Arial"/>
                              </w:rPr>
                            </w:pPr>
                          </w:p>
                          <w:p w14:paraId="0CB69A97" w14:textId="77777777" w:rsidR="00DC337B" w:rsidRDefault="00DC337B" w:rsidP="003F7F95">
                            <w:pPr>
                              <w:rPr>
                                <w:rFonts w:ascii="Arial" w:hAnsi="Arial" w:cs="Arial"/>
                              </w:rPr>
                            </w:pPr>
                            <w:r w:rsidRPr="003F7F95">
                              <w:rPr>
                                <w:rFonts w:ascii="Arial" w:hAnsi="Arial" w:cs="Arial"/>
                              </w:rPr>
                              <w:t xml:space="preserve">Therefore </w:t>
                            </w:r>
                            <w:r w:rsidRPr="003F7F95">
                              <w:rPr>
                                <w:rFonts w:ascii="Arial" w:hAnsi="Arial" w:cs="Arial"/>
                                <w:b/>
                              </w:rPr>
                              <w:t>DO NOT</w:t>
                            </w:r>
                            <w:r w:rsidRPr="003F7F95">
                              <w:rPr>
                                <w:rFonts w:ascii="Arial" w:hAnsi="Arial" w:cs="Arial"/>
                              </w:rPr>
                              <w:t xml:space="preserve"> use this script by copying or simplifying part of it directly for use in your exam or to supplement your summary. If you do so </w:t>
                            </w:r>
                            <w:r w:rsidRPr="003F7F95">
                              <w:rPr>
                                <w:rFonts w:ascii="Arial" w:hAnsi="Arial" w:cs="Arial"/>
                                <w:b/>
                              </w:rPr>
                              <w:t>YOUR MARK WILL PROBABLY END UP BEING WORSE!</w:t>
                            </w:r>
                            <w:r w:rsidRPr="003F7F95">
                              <w:rPr>
                                <w:rFonts w:ascii="Arial" w:hAnsi="Arial" w:cs="Arial"/>
                              </w:rPr>
                              <w:t xml:space="preserve"> The LSS is providing this script to give you an idea as to the depth of analysis required in exams and examples of possible structures and hence to provide direction for your own learning.</w:t>
                            </w:r>
                          </w:p>
                          <w:p w14:paraId="54555385" w14:textId="77777777" w:rsidR="00DC337B" w:rsidRDefault="00DC337B" w:rsidP="003F7F95">
                            <w:pPr>
                              <w:rPr>
                                <w:rFonts w:ascii="Arial" w:hAnsi="Arial" w:cs="Arial"/>
                              </w:rPr>
                            </w:pPr>
                          </w:p>
                          <w:p w14:paraId="6871E5CA" w14:textId="77777777" w:rsidR="00DC337B" w:rsidRPr="003F7F95" w:rsidRDefault="00DC337B" w:rsidP="003F7F95">
                            <w:pPr>
                              <w:rPr>
                                <w:rFonts w:ascii="Arial" w:hAnsi="Arial" w:cs="Arial"/>
                              </w:rPr>
                            </w:pPr>
                            <w:r w:rsidRPr="003F7F95">
                              <w:rPr>
                                <w:rFonts w:ascii="Arial" w:hAnsi="Arial" w:cs="Arial"/>
                              </w:rPr>
                              <w:t xml:space="preserve">Please do not use them for any other purposes - otherwise you are putting your academic future at risk.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2.65pt;width:446.4pt;height:23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">
                <v:textbox>
                  <w:txbxContent>
                    <w:p w:rsidR="00DC337B" w:rsidRPr="003F7F95" w:rsidRDefault="00DC337B" w:rsidP="003F7F95">
                      <w:pPr>
                        <w:rPr>
                          <w:rFonts w:ascii="Arial" w:hAnsi="Arial" w:cs="Arial"/>
                          <w:b/>
                        </w:rPr>
                      </w:pPr>
                      <w:r w:rsidRPr="003F7F95">
                        <w:rPr>
                          <w:rFonts w:ascii="Arial" w:hAnsi="Arial" w:cs="Arial"/>
                          <w:b/>
                        </w:rPr>
                        <w:t>How to Use this Script:</w:t>
                      </w:r>
                    </w:p>
                    <w:p w:rsidR="00DC337B" w:rsidRDefault="00DC337B" w:rsidP="003F7F95">
                      <w:pPr>
                        <w:rPr>
                          <w:rFonts w:ascii="Arial" w:hAnsi="Arial" w:cs="Arial"/>
                        </w:rPr>
                      </w:pPr>
                      <w:r>
                        <w:rPr>
                          <w:rFonts w:ascii="Arial" w:hAnsi="Arial" w:cs="Arial"/>
                        </w:rPr>
                        <w:t>These s</w:t>
                      </w:r>
                      <w:r w:rsidRPr="003F7F95">
                        <w:rPr>
                          <w:rFonts w:ascii="Arial" w:hAnsi="Arial" w:cs="Arial"/>
                        </w:rPr>
                        <w:t xml:space="preserve">ample </w:t>
                      </w:r>
                      <w:r>
                        <w:rPr>
                          <w:rFonts w:ascii="Arial" w:hAnsi="Arial" w:cs="Arial"/>
                        </w:rPr>
                        <w:t>e</w:t>
                      </w:r>
                      <w:r w:rsidRPr="003F7F95">
                        <w:rPr>
                          <w:rFonts w:ascii="Arial" w:hAnsi="Arial" w:cs="Arial"/>
                        </w:rPr>
                        <w:t xml:space="preserve">xam </w:t>
                      </w:r>
                      <w:r>
                        <w:rPr>
                          <w:rFonts w:ascii="Arial" w:hAnsi="Arial" w:cs="Arial"/>
                        </w:rPr>
                        <w:t>a</w:t>
                      </w:r>
                      <w:r w:rsidRPr="003F7F95">
                        <w:rPr>
                          <w:rFonts w:ascii="Arial" w:hAnsi="Arial" w:cs="Arial"/>
                        </w:rPr>
                        <w:t>nswers are based on proble</w:t>
                      </w:r>
                      <w:r>
                        <w:rPr>
                          <w:rFonts w:ascii="Arial" w:hAnsi="Arial" w:cs="Arial"/>
                        </w:rPr>
                        <w:t xml:space="preserve">ms done in past years. </w:t>
                      </w:r>
                      <w:r w:rsidRPr="003F7F95">
                        <w:rPr>
                          <w:rFonts w:ascii="Arial" w:hAnsi="Arial" w:cs="Arial"/>
                        </w:rPr>
                        <w:t>Since these answers were written</w:t>
                      </w:r>
                      <w:r>
                        <w:rPr>
                          <w:rFonts w:ascii="Arial" w:hAnsi="Arial" w:cs="Arial"/>
                        </w:rPr>
                        <w:t>,</w:t>
                      </w:r>
                      <w:r w:rsidRPr="003F7F95">
                        <w:rPr>
                          <w:rFonts w:ascii="Arial" w:hAnsi="Arial" w:cs="Arial"/>
                        </w:rPr>
                        <w:t xml:space="preserve"> the law has changed and the subject may have changed. Additionally, the student may have made some mistakes in their answer, despite their good mark. </w:t>
                      </w:r>
                    </w:p>
                    <w:p w:rsidR="00DC337B" w:rsidRDefault="00DC337B" w:rsidP="003F7F95">
                      <w:pPr>
                        <w:rPr>
                          <w:rFonts w:ascii="Arial" w:hAnsi="Arial" w:cs="Arial"/>
                        </w:rPr>
                      </w:pPr>
                    </w:p>
                    <w:p w:rsidR="00DC337B" w:rsidRDefault="00DC337B" w:rsidP="003F7F95">
                      <w:pPr>
                        <w:rPr>
                          <w:rFonts w:ascii="Arial" w:hAnsi="Arial" w:cs="Arial"/>
                        </w:rPr>
                      </w:pPr>
                      <w:r w:rsidRPr="003F7F95">
                        <w:rPr>
                          <w:rFonts w:ascii="Arial" w:hAnsi="Arial" w:cs="Arial"/>
                        </w:rPr>
                        <w:t xml:space="preserve">Therefore </w:t>
                      </w:r>
                      <w:r w:rsidRPr="003F7F95">
                        <w:rPr>
                          <w:rFonts w:ascii="Arial" w:hAnsi="Arial" w:cs="Arial"/>
                          <w:b/>
                        </w:rPr>
                        <w:t>DO NOT</w:t>
                      </w:r>
                      <w:r w:rsidRPr="003F7F95">
                        <w:rPr>
                          <w:rFonts w:ascii="Arial" w:hAnsi="Arial" w:cs="Arial"/>
                        </w:rPr>
                        <w:t xml:space="preserve"> use this script by copying or simplifying part of it directly for use in your exam or to supplement your summary. If you do so </w:t>
                      </w:r>
                      <w:r w:rsidRPr="003F7F95">
                        <w:rPr>
                          <w:rFonts w:ascii="Arial" w:hAnsi="Arial" w:cs="Arial"/>
                          <w:b/>
                        </w:rPr>
                        <w:t>YOUR MARK WILL PROBABLY END UP BEING WORSE!</w:t>
                      </w:r>
                      <w:r w:rsidRPr="003F7F95">
                        <w:rPr>
                          <w:rFonts w:ascii="Arial" w:hAnsi="Arial" w:cs="Arial"/>
                        </w:rPr>
                        <w:t xml:space="preserve"> The LSS is providing this script to give you an idea as to the depth of analysis required in exams and examples of possible structures and hence to provide direction for your own learning.</w:t>
                      </w:r>
                    </w:p>
                    <w:p w:rsidR="00DC337B" w:rsidRDefault="00DC337B" w:rsidP="003F7F95">
                      <w:pPr>
                        <w:rPr>
                          <w:rFonts w:ascii="Arial" w:hAnsi="Arial" w:cs="Arial"/>
                        </w:rPr>
                      </w:pPr>
                    </w:p>
                    <w:p w:rsidR="00DC337B" w:rsidRPr="003F7F95" w:rsidRDefault="00DC337B" w:rsidP="003F7F95">
                      <w:pPr>
                        <w:rPr>
                          <w:rFonts w:ascii="Arial" w:hAnsi="Arial" w:cs="Arial"/>
                        </w:rPr>
                      </w:pPr>
                      <w:r w:rsidRPr="003F7F95">
                        <w:rPr>
                          <w:rFonts w:ascii="Arial" w:hAnsi="Arial" w:cs="Arial"/>
                        </w:rPr>
                        <w:t xml:space="preserve">Please do not use them for any other purposes - otherwise you are putting your academic future at risk. </w:t>
                      </w:r>
                    </w:p>
                  </w:txbxContent>
                </v:textbox>
                <w10:wrap type="square"/>
              </v:shape>
            </w:pict>
          </mc:Fallback>
        </mc:AlternateContent>
      </w:r>
      <w:r>
        <w:rPr>
          <w:noProof/>
          <w:lang w:val="en-US"/>
        </w:rPr>
        <mc:AlternateContent>
          <mc:Choice Requires="wps">
            <w:drawing>
              <wp:anchor distT="0" distB="0" distL="114300" distR="114300" simplePos="0" relativeHeight="251658752" behindDoc="0" locked="0" layoutInCell="1" allowOverlap="1" wp14:anchorId="018FE7C8" wp14:editId="08BB9F87">
                <wp:simplePos x="0" y="0"/>
                <wp:positionH relativeFrom="column">
                  <wp:posOffset>114300</wp:posOffset>
                </wp:positionH>
                <wp:positionV relativeFrom="paragraph">
                  <wp:posOffset>3120390</wp:posOffset>
                </wp:positionV>
                <wp:extent cx="5669280" cy="685800"/>
                <wp:effectExtent l="0" t="0" r="7620" b="146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85800"/>
                        </a:xfrm>
                        <a:prstGeom prst="rect">
                          <a:avLst/>
                        </a:prstGeom>
                        <a:solidFill>
                          <a:srgbClr val="FFFFFF"/>
                        </a:solidFill>
                        <a:ln w="9525">
                          <a:solidFill>
                            <a:srgbClr val="000000"/>
                          </a:solidFill>
                          <a:miter lim="800000"/>
                          <a:headEnd/>
                          <a:tailEnd/>
                        </a:ln>
                      </wps:spPr>
                      <wps:txbx>
                        <w:txbxContent>
                          <w:p w14:paraId="535026F2" w14:textId="77777777" w:rsidR="00DC337B" w:rsidRPr="003F7F95" w:rsidRDefault="00DC337B" w:rsidP="003F7F95">
                            <w:pPr>
                              <w:jc w:val="center"/>
                              <w:rPr>
                                <w:b/>
                                <w:i/>
                                <w:szCs w:val="24"/>
                              </w:rPr>
                            </w:pPr>
                            <w:r w:rsidRPr="003F7F95">
                              <w:rPr>
                                <w:rFonts w:ascii="Arial" w:hAnsi="Arial" w:cs="Arial"/>
                                <w:b/>
                                <w:i/>
                                <w:szCs w:val="24"/>
                              </w:rPr>
                              <w:t>This paper is provided solely for use by ANU Law Students. This paper may not be redistributed, resold, republished, uploaded, posted or transmitted in any manner.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245.7pt;width:446.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">
                <v:textbox>
                  <w:txbxContent>
                    <w:p w:rsidR="00DC337B" w:rsidRPr="003F7F95" w:rsidRDefault="00DC337B" w:rsidP="003F7F95">
                      <w:pPr>
                        <w:jc w:val="center"/>
                        <w:rPr>
                          <w:b/>
                          <w:i/>
                          <w:szCs w:val="24"/>
                        </w:rPr>
                      </w:pPr>
                      <w:r w:rsidRPr="003F7F95">
                        <w:rPr>
                          <w:rFonts w:ascii="Arial" w:hAnsi="Arial" w:cs="Arial"/>
                          <w:b/>
                          <w:i/>
                          <w:szCs w:val="24"/>
                        </w:rPr>
                        <w:t>This paper is provided solely for use by ANU Law Students. This paper may not be redistributed, resold, republished, uploaded, posted or transmitted in any manner.</w:t>
                      </w:r>
                    </w:p>
                  </w:txbxContent>
                </v:textbox>
                <w10:wrap type="square"/>
              </v:shape>
            </w:pict>
          </mc:Fallback>
        </mc:AlternateContent>
      </w:r>
      <w:r w:rsidR="003F7F95">
        <w:br w:type="page"/>
      </w:r>
      <w:r w:rsidR="00B76BBB">
        <w:rPr>
          <w:sz w:val="22"/>
        </w:rPr>
        <w:lastRenderedPageBreak/>
        <w:t>Part B Question 4 (Essay)</w:t>
      </w:r>
    </w:p>
    <w:p w14:paraId="35334246" w14:textId="77777777" w:rsidR="00B76BBB" w:rsidRDefault="00B76BBB" w:rsidP="00B76BBB">
      <w:pPr>
        <w:spacing w:line="360" w:lineRule="auto"/>
        <w:rPr>
          <w:sz w:val="22"/>
        </w:rPr>
      </w:pPr>
      <w:r>
        <w:rPr>
          <w:sz w:val="22"/>
        </w:rPr>
        <w:t>Mark: 80%</w:t>
      </w:r>
    </w:p>
    <w:p w14:paraId="0A825A1D" w14:textId="77777777" w:rsidR="00B76BBB" w:rsidRDefault="00B76BBB" w:rsidP="00B76BBB">
      <w:pPr>
        <w:spacing w:line="360" w:lineRule="auto"/>
        <w:rPr>
          <w:sz w:val="22"/>
        </w:rPr>
      </w:pPr>
    </w:p>
    <w:p w14:paraId="45C7C67A" w14:textId="77777777" w:rsidR="00B76BBB" w:rsidRDefault="00B76BBB" w:rsidP="00B76BBB">
      <w:pPr>
        <w:spacing w:line="360" w:lineRule="auto"/>
        <w:rPr>
          <w:sz w:val="22"/>
        </w:rPr>
      </w:pPr>
      <w:r>
        <w:rPr>
          <w:sz w:val="22"/>
        </w:rPr>
        <w:t xml:space="preserve">The doctrine of the separation of powers is one extending back hundreds of years. It is a doctrine, which has had a significant impact on the Australian constitutional system, and is consequently reflected within it. However, this essay argues that the doctrine has, to a degree, been tempered by the recognition of responsible government, despite its obvious reflection in the Cth Constitution. This essay will also discuss the separation of judicial power principles as part of the overall doctrine, and the significant impact it has on limiting and regulation the role of the judiciary. The issues of an elected judiciary and of parliamentary privilege will also be discussed. The doctrine of the separation of powers is reflected in the Australian constitution law systems to a significant degree. This essay will focus on the Cth Constitutional system primarily, as this is where the operation of the doctrine is very clear. </w:t>
      </w:r>
    </w:p>
    <w:p w14:paraId="1C161C26" w14:textId="77777777" w:rsidR="00B76BBB" w:rsidRDefault="00B76BBB" w:rsidP="00B76BBB">
      <w:pPr>
        <w:spacing w:line="360" w:lineRule="auto"/>
        <w:rPr>
          <w:sz w:val="22"/>
        </w:rPr>
      </w:pPr>
    </w:p>
    <w:p w14:paraId="1742B1E1" w14:textId="77777777" w:rsidR="00B76BBB" w:rsidRDefault="00B76BBB" w:rsidP="00B76BBB">
      <w:pPr>
        <w:spacing w:line="360" w:lineRule="auto"/>
        <w:rPr>
          <w:sz w:val="22"/>
        </w:rPr>
      </w:pPr>
    </w:p>
    <w:p w14:paraId="74AEB092" w14:textId="77777777" w:rsidR="00B76BBB" w:rsidRPr="00C30816" w:rsidRDefault="00B76BBB" w:rsidP="00B76BBB">
      <w:pPr>
        <w:spacing w:line="360" w:lineRule="auto"/>
        <w:rPr>
          <w:color w:val="0000FF"/>
          <w:sz w:val="22"/>
        </w:rPr>
      </w:pPr>
      <w:r>
        <w:rPr>
          <w:sz w:val="22"/>
        </w:rPr>
        <w:t xml:space="preserve">As stated, this doctrine is hundreds of years old. In the 1700s Montesquieu suggested that </w:t>
      </w:r>
      <w:r w:rsidRPr="00C30816">
        <w:rPr>
          <w:color w:val="0000FF"/>
          <w:sz w:val="22"/>
        </w:rPr>
        <w:t>√</w:t>
      </w:r>
    </w:p>
    <w:p w14:paraId="6CB8B4D7" w14:textId="77777777" w:rsidR="00B76BBB" w:rsidRDefault="00B76BBB" w:rsidP="00B76BBB">
      <w:pPr>
        <w:spacing w:line="360" w:lineRule="auto"/>
        <w:rPr>
          <w:sz w:val="22"/>
        </w:rPr>
      </w:pPr>
      <w:r>
        <w:rPr>
          <w:sz w:val="22"/>
        </w:rPr>
        <w:t xml:space="preserve">political liberty can only be found where there is no abuse of power, and that to prevent such abuses there must be checks on power. He identified three sorts of power in government: legislative, executive and judicial. He suggested that their separation was necessary because where powers are united in the same body there can be no liberty. Taking a more modern view in 1987, Phillips and Jackson recognised that in modern times the function of the executive has widened considerably. They suggested, as a deviation from Montesquieu’s stricter approach, that, “A complete separation of powers…with no overlapping or co-ordination would (even if theoretically possible) bring government to a standstill”. They suggest that the doctrines role is to prevent tyranny and to enable checks on power. </w:t>
      </w:r>
    </w:p>
    <w:p w14:paraId="04FE9A37" w14:textId="77777777" w:rsidR="00B76BBB" w:rsidRDefault="00B76BBB" w:rsidP="00B76BBB">
      <w:pPr>
        <w:spacing w:line="360" w:lineRule="auto"/>
        <w:rPr>
          <w:sz w:val="22"/>
        </w:rPr>
      </w:pPr>
    </w:p>
    <w:p w14:paraId="366ED811" w14:textId="77777777" w:rsidR="00B76BBB" w:rsidRPr="00C30816" w:rsidRDefault="00B76BBB" w:rsidP="00B76BBB">
      <w:pPr>
        <w:spacing w:line="360" w:lineRule="auto"/>
        <w:rPr>
          <w:color w:val="0000FF"/>
          <w:sz w:val="22"/>
        </w:rPr>
      </w:pPr>
      <w:r>
        <w:rPr>
          <w:sz w:val="22"/>
        </w:rPr>
        <w:t xml:space="preserve">The more modern view of Phillips and Jackson can be seen reflected in the Commonwealth Constitution today (even though it was enacted in 1900). The Constitution most obviously reflects the doctrine through Chapters I, II and III, which provide separately for the ‘Legislature’, ‘Executive’ and ‘Judiciary’ respectively. </w:t>
      </w:r>
      <w:r>
        <w:rPr>
          <w:sz w:val="22"/>
          <w:u w:val="single"/>
        </w:rPr>
        <w:t>S 1</w:t>
      </w:r>
      <w:r>
        <w:rPr>
          <w:sz w:val="22"/>
        </w:rPr>
        <w:t xml:space="preserve"> states that Cth legislative power is vested in Federal Parliament, consisting of the Queen, a Senate and a House of Representatives. </w:t>
      </w:r>
      <w:r>
        <w:rPr>
          <w:sz w:val="22"/>
          <w:u w:val="single"/>
        </w:rPr>
        <w:t>S 61</w:t>
      </w:r>
      <w:r>
        <w:rPr>
          <w:sz w:val="22"/>
        </w:rPr>
        <w:t xml:space="preserve"> (of Chapter II) vests executive power in the Queen, as exercisable by the Governor General. </w:t>
      </w:r>
      <w:r>
        <w:rPr>
          <w:sz w:val="22"/>
          <w:u w:val="single"/>
        </w:rPr>
        <w:t>S 71</w:t>
      </w:r>
      <w:r>
        <w:rPr>
          <w:sz w:val="22"/>
        </w:rPr>
        <w:t xml:space="preserve"> vests judicial power in the HCA and other federal courts the Parliament creates. Apart from the Queen being in both the executive and legislature, ss 1, 61 and 71 clearly reflect the doctrine. </w:t>
      </w:r>
      <w:r w:rsidRPr="00C30816">
        <w:rPr>
          <w:color w:val="0000FF"/>
          <w:sz w:val="22"/>
        </w:rPr>
        <w:t>√</w:t>
      </w:r>
    </w:p>
    <w:p w14:paraId="5563E4D5" w14:textId="77777777" w:rsidR="00B76BBB" w:rsidRDefault="00B76BBB" w:rsidP="00B76BBB">
      <w:pPr>
        <w:spacing w:line="360" w:lineRule="auto"/>
        <w:rPr>
          <w:sz w:val="22"/>
        </w:rPr>
      </w:pPr>
    </w:p>
    <w:p w14:paraId="744EA55A" w14:textId="77777777" w:rsidR="00B76BBB" w:rsidRPr="00C30816" w:rsidRDefault="00B76BBB" w:rsidP="00B76BBB">
      <w:pPr>
        <w:spacing w:line="360" w:lineRule="auto"/>
        <w:rPr>
          <w:color w:val="0000FF"/>
          <w:sz w:val="22"/>
        </w:rPr>
      </w:pPr>
      <w:r>
        <w:rPr>
          <w:sz w:val="22"/>
        </w:rPr>
        <w:lastRenderedPageBreak/>
        <w:t xml:space="preserve">However, particularly in relation to ss 1 and 61, the Constitution is not reflective of constitutional reality. It has been seen since at least 1975 (during the Constitutional crisis) that the Queen does not interfere with Australia’s constitutional affairs. Furthermore, by convention the Governor-General (in relation to </w:t>
      </w:r>
      <w:r>
        <w:rPr>
          <w:sz w:val="22"/>
          <w:u w:val="single"/>
        </w:rPr>
        <w:t>s 61</w:t>
      </w:r>
      <w:r>
        <w:rPr>
          <w:sz w:val="22"/>
        </w:rPr>
        <w:t xml:space="preserve">) acts only on the advice of the Prime Minister and Cabinet, although these two bodies exists only by very well-established constitutional conventions. Furthermore, as part of a system of responsible government, ministers answer to parliament (the legislature) for their actions, not to the Governor-General. This creates some cross-over where the legislature and executive are both found within the same institutions. This is a deviation from the strict separation of powers Montesquieu championed. </w:t>
      </w:r>
      <w:r w:rsidRPr="00C30816">
        <w:rPr>
          <w:color w:val="0000FF"/>
          <w:sz w:val="22"/>
        </w:rPr>
        <w:t>√</w:t>
      </w:r>
    </w:p>
    <w:p w14:paraId="082A7612" w14:textId="77777777" w:rsidR="00B76BBB" w:rsidRDefault="00B76BBB" w:rsidP="00B76BBB">
      <w:pPr>
        <w:spacing w:line="360" w:lineRule="auto"/>
        <w:rPr>
          <w:sz w:val="22"/>
        </w:rPr>
      </w:pPr>
    </w:p>
    <w:p w14:paraId="60003421" w14:textId="77777777" w:rsidR="00B76BBB" w:rsidRPr="00C30816" w:rsidRDefault="00B76BBB" w:rsidP="00B76BBB">
      <w:pPr>
        <w:spacing w:line="360" w:lineRule="auto"/>
        <w:rPr>
          <w:color w:val="0000FF"/>
          <w:sz w:val="22"/>
        </w:rPr>
      </w:pPr>
      <w:r>
        <w:rPr>
          <w:sz w:val="22"/>
        </w:rPr>
        <w:t xml:space="preserve">The operation of the doctrine in Australia is closely tied with the idea of parliamentary sovereignty, which arguably helps to improve or strengthen the separation of powers within Australia. P/mentary supremacy is the pre-eminent principle of English public law, and part of England’s constitutional legacy to Australia. In 1885 </w:t>
      </w:r>
      <w:r>
        <w:rPr>
          <w:sz w:val="22"/>
          <w:u w:val="single"/>
        </w:rPr>
        <w:t>Dicey</w:t>
      </w:r>
      <w:r>
        <w:rPr>
          <w:sz w:val="22"/>
        </w:rPr>
        <w:t xml:space="preserve"> suggested that it means parliament can make or unmake any laws, and that ‘judicial legislation is…subordinate legislation’. This is reflected in Australia. Where a judicial decision is inconsistent with legislation the legislation will prevail to the extent of the inconsistency. However, this does not give parliament absolute power. As </w:t>
      </w:r>
      <w:r>
        <w:rPr>
          <w:sz w:val="22"/>
          <w:u w:val="single"/>
        </w:rPr>
        <w:t>Jennings</w:t>
      </w:r>
      <w:r>
        <w:rPr>
          <w:sz w:val="22"/>
        </w:rPr>
        <w:t xml:space="preserve"> highlights, the legislature’s powers are derived from the law, namely the Constitution. </w:t>
      </w:r>
      <w:r>
        <w:rPr>
          <w:sz w:val="22"/>
          <w:u w:val="single"/>
        </w:rPr>
        <w:t>S 76(i)</w:t>
      </w:r>
      <w:r>
        <w:rPr>
          <w:sz w:val="22"/>
        </w:rPr>
        <w:t xml:space="preserve"> of the Constitution gives the High Court additional original jurisdiction where parliament makes law conferring on it power about the constitution and its interpretation. The judiciary’s power to declare any Cth legislation (or state) constitutionally invalid demonstrates how the separation of powers in Australia prevents any abuse of that power by the legislature. The situation in Australia is not as Dicey described in 1995. Rather, the courts can check even on Cth legislation. </w:t>
      </w:r>
      <w:r w:rsidRPr="00C30816">
        <w:rPr>
          <w:color w:val="0000FF"/>
          <w:sz w:val="22"/>
        </w:rPr>
        <w:t>√</w:t>
      </w:r>
    </w:p>
    <w:p w14:paraId="02DCBA8C" w14:textId="77777777" w:rsidR="00B76BBB" w:rsidRDefault="00B76BBB" w:rsidP="00B76BBB">
      <w:pPr>
        <w:spacing w:line="360" w:lineRule="auto"/>
        <w:rPr>
          <w:sz w:val="22"/>
        </w:rPr>
      </w:pPr>
    </w:p>
    <w:p w14:paraId="68ED3731" w14:textId="77777777" w:rsidR="00B76BBB" w:rsidRPr="00C30816" w:rsidRDefault="00B76BBB" w:rsidP="00B76BBB">
      <w:pPr>
        <w:spacing w:line="360" w:lineRule="auto"/>
        <w:rPr>
          <w:color w:val="0000FF"/>
          <w:sz w:val="22"/>
        </w:rPr>
      </w:pPr>
      <w:r>
        <w:rPr>
          <w:sz w:val="22"/>
        </w:rPr>
        <w:t xml:space="preserve">However, the judiciary’s power is also restricted in this regard. At Cth level there exists separation of federal judicial power principles, which prevent the judiciary from intervening about legislation before a dispute is brought before a court enabling them to do so, thus being reactive only. These principles state that only courts listed in </w:t>
      </w:r>
      <w:r>
        <w:rPr>
          <w:sz w:val="22"/>
          <w:u w:val="single"/>
        </w:rPr>
        <w:t>s 71</w:t>
      </w:r>
      <w:r>
        <w:rPr>
          <w:sz w:val="22"/>
        </w:rPr>
        <w:t xml:space="preserve"> of the Constitution can exercise federal judicial power, and those courts can only exercise judicial power, and non-judicial power incidental to the exercise of judicial power (</w:t>
      </w:r>
      <w:r>
        <w:rPr>
          <w:sz w:val="22"/>
          <w:u w:val="single"/>
        </w:rPr>
        <w:t>Alexander’s Case</w:t>
      </w:r>
      <w:r>
        <w:rPr>
          <w:sz w:val="22"/>
        </w:rPr>
        <w:t xml:space="preserve">; </w:t>
      </w:r>
      <w:r>
        <w:rPr>
          <w:sz w:val="22"/>
          <w:u w:val="single"/>
        </w:rPr>
        <w:t>Boilermakers</w:t>
      </w:r>
      <w:r>
        <w:rPr>
          <w:sz w:val="22"/>
        </w:rPr>
        <w:t xml:space="preserve">). </w:t>
      </w:r>
      <w:r w:rsidRPr="00C30816">
        <w:rPr>
          <w:color w:val="0000FF"/>
          <w:sz w:val="22"/>
        </w:rPr>
        <w:t>√</w:t>
      </w:r>
      <w:r>
        <w:rPr>
          <w:color w:val="0000FF"/>
          <w:sz w:val="22"/>
        </w:rPr>
        <w:t xml:space="preserve"> </w:t>
      </w:r>
      <w:r>
        <w:rPr>
          <w:sz w:val="22"/>
        </w:rPr>
        <w:t xml:space="preserve">There are a number of consequences arising from the establishment of these principles (which apply only at a federal level). Firstly, it becomes necessary to define judicial power, to determine when it is being exercised. This is not an easy task, but several indicia emerge from case law (see, e.g., </w:t>
      </w:r>
      <w:r>
        <w:rPr>
          <w:sz w:val="22"/>
          <w:u w:val="single"/>
        </w:rPr>
        <w:t>Tasmanian Breweries</w:t>
      </w:r>
      <w:r>
        <w:rPr>
          <w:sz w:val="22"/>
        </w:rPr>
        <w:t xml:space="preserve">). These indicia include the conclusiveness, bindingness, and enforceability of the decisions). They also require a determination of controversy over existing rights according to judicial process and by the application of ascertainable legal standards and criteria. Thus, as is seen in </w:t>
      </w:r>
      <w:r>
        <w:rPr>
          <w:sz w:val="22"/>
          <w:u w:val="single"/>
        </w:rPr>
        <w:t>Thomas v Mowbray</w:t>
      </w:r>
      <w:r>
        <w:rPr>
          <w:sz w:val="22"/>
        </w:rPr>
        <w:t xml:space="preserve">, and </w:t>
      </w:r>
      <w:r>
        <w:rPr>
          <w:sz w:val="22"/>
          <w:u w:val="single"/>
        </w:rPr>
        <w:t>Bass v Permanent</w:t>
      </w:r>
      <w:r>
        <w:rPr>
          <w:sz w:val="22"/>
        </w:rPr>
        <w:t xml:space="preserve">, judicial power is restricted in its operation to times when cases and disputes are brought before the court. To determine existing rights, the disputes are necessarily about existing law the legislature has passed. In this way, the judicial branch of government is limited by being responsive only to cases. Conversely, the legislature can pass laws at any time (within its restrictions). </w:t>
      </w:r>
      <w:r w:rsidRPr="00C30816">
        <w:rPr>
          <w:color w:val="0000FF"/>
          <w:sz w:val="22"/>
        </w:rPr>
        <w:t>√</w:t>
      </w:r>
    </w:p>
    <w:p w14:paraId="6F6B44B1" w14:textId="77777777" w:rsidR="00B76BBB" w:rsidRDefault="00B76BBB" w:rsidP="00B76BBB">
      <w:pPr>
        <w:spacing w:line="360" w:lineRule="auto"/>
        <w:rPr>
          <w:sz w:val="22"/>
        </w:rPr>
      </w:pPr>
    </w:p>
    <w:p w14:paraId="01372EBE" w14:textId="77777777" w:rsidR="00B76BBB" w:rsidRPr="00C30816" w:rsidRDefault="00B76BBB" w:rsidP="00B76BBB">
      <w:pPr>
        <w:spacing w:line="360" w:lineRule="auto"/>
        <w:rPr>
          <w:color w:val="0000FF"/>
          <w:sz w:val="22"/>
        </w:rPr>
      </w:pPr>
      <w:r>
        <w:rPr>
          <w:sz w:val="22"/>
        </w:rPr>
        <w:t>The second consequence emerging from these principles is that federal judicial bodies cannot give advisory opinions or exercise administrative discretion. Thus, neither federal courts nor judges can pass judgement about proposed bills, or laws in parliament until there is a dispute. This clearly shows the operation of the separation of powers reflected in the Australian federal Constitutional system. While there are exceptions to the separation of federal judicial power principles they are restricted. For example, the persona designata exception regarding federal court judges only enables judges to exercise non-judicial power where they are acting in their personal capacity (</w:t>
      </w:r>
      <w:r>
        <w:rPr>
          <w:sz w:val="22"/>
          <w:u w:val="single"/>
        </w:rPr>
        <w:t>Drake</w:t>
      </w:r>
      <w:r>
        <w:rPr>
          <w:sz w:val="22"/>
        </w:rPr>
        <w:t>), and consent, and where the function is not incompatible with their judicial function (</w:t>
      </w:r>
      <w:r>
        <w:rPr>
          <w:sz w:val="22"/>
          <w:u w:val="single"/>
        </w:rPr>
        <w:t>Grollo</w:t>
      </w:r>
      <w:r>
        <w:rPr>
          <w:sz w:val="22"/>
        </w:rPr>
        <w:t xml:space="preserve">). </w:t>
      </w:r>
      <w:r>
        <w:rPr>
          <w:sz w:val="22"/>
          <w:u w:val="single"/>
        </w:rPr>
        <w:t>Grollo</w:t>
      </w:r>
      <w:r>
        <w:rPr>
          <w:sz w:val="22"/>
        </w:rPr>
        <w:t xml:space="preserve"> identified that such incompatibility could arise where the integrity of either the judge or the judiciary generally would be compromised by the performance of the non-judicial function. Thus, this prevents judges from undermining the separation of powers by influencing the development of Australian law at times other than those anticipated by the Constitution itself. Where a judge does act persona designata, they do so independently of the judiciary. </w:t>
      </w:r>
      <w:r w:rsidRPr="00C30816">
        <w:rPr>
          <w:color w:val="0000FF"/>
          <w:sz w:val="22"/>
        </w:rPr>
        <w:t>√</w:t>
      </w:r>
    </w:p>
    <w:p w14:paraId="3D08ECFD" w14:textId="77777777" w:rsidR="00B76BBB" w:rsidRDefault="00B76BBB" w:rsidP="00B76BBB">
      <w:pPr>
        <w:spacing w:line="360" w:lineRule="auto"/>
        <w:rPr>
          <w:sz w:val="22"/>
        </w:rPr>
      </w:pPr>
    </w:p>
    <w:p w14:paraId="1A788812" w14:textId="77777777" w:rsidR="00B76BBB" w:rsidRDefault="00B76BBB" w:rsidP="00B76BBB">
      <w:pPr>
        <w:spacing w:line="360" w:lineRule="auto"/>
        <w:rPr>
          <w:sz w:val="22"/>
        </w:rPr>
      </w:pPr>
      <w:r>
        <w:rPr>
          <w:sz w:val="22"/>
        </w:rPr>
        <w:t xml:space="preserve">At State level this judicial separation of powers is not entrenched so it is less clear. However, a number of cases including </w:t>
      </w:r>
      <w:r>
        <w:rPr>
          <w:sz w:val="22"/>
          <w:u w:val="single"/>
        </w:rPr>
        <w:t>Kable</w:t>
      </w:r>
      <w:r>
        <w:rPr>
          <w:sz w:val="22"/>
        </w:rPr>
        <w:t xml:space="preserve"> and </w:t>
      </w:r>
      <w:r>
        <w:rPr>
          <w:sz w:val="22"/>
          <w:u w:val="single"/>
        </w:rPr>
        <w:t>International Finance</w:t>
      </w:r>
      <w:r>
        <w:rPr>
          <w:sz w:val="22"/>
        </w:rPr>
        <w:t xml:space="preserve"> indicate that “institutional integrity” is the leading criterion regulating the way State parliaments can deal with their courts. </w:t>
      </w:r>
    </w:p>
    <w:p w14:paraId="1D08D788" w14:textId="77777777" w:rsidR="00B76BBB" w:rsidRDefault="00B76BBB" w:rsidP="00B76BBB">
      <w:pPr>
        <w:spacing w:line="360" w:lineRule="auto"/>
        <w:rPr>
          <w:sz w:val="22"/>
        </w:rPr>
      </w:pPr>
    </w:p>
    <w:p w14:paraId="774150B3" w14:textId="77777777" w:rsidR="00B76BBB" w:rsidRDefault="00B76BBB" w:rsidP="00B76BBB">
      <w:pPr>
        <w:spacing w:line="360" w:lineRule="auto"/>
        <w:rPr>
          <w:sz w:val="22"/>
        </w:rPr>
      </w:pPr>
      <w:r>
        <w:rPr>
          <w:sz w:val="22"/>
        </w:rPr>
        <w:t xml:space="preserve">The issue of an appointed judiciary is raised by some legal commentators as being a factor undermining the independence of the judiciary, and thus the separation of powers in Australia. Indeed, judges are appointed to their positions in Australia unlike in countries like the United States where they are elected by popular vote. Essentially, this means the seven individuals forming the High Court of Australia, whose decisions are binding upon all Australia and change only by the Court, are chosen by the Executive. Consequently, this raises questions about the other arms of government appointing judges whom they believe will politically be more in line with their thinking, and thus less likely to make decisions against their favour. </w:t>
      </w:r>
    </w:p>
    <w:p w14:paraId="1FC1CA22" w14:textId="77777777" w:rsidR="00B76BBB" w:rsidRPr="00C30816" w:rsidRDefault="00B76BBB" w:rsidP="00B76BBB">
      <w:pPr>
        <w:spacing w:line="360" w:lineRule="auto"/>
        <w:rPr>
          <w:color w:val="0000FF"/>
          <w:sz w:val="22"/>
        </w:rPr>
      </w:pPr>
      <w:r>
        <w:rPr>
          <w:sz w:val="22"/>
        </w:rPr>
        <w:t xml:space="preserve">This is a genuine concern. However, the power of public opinion is not to be understated. Indeed the Constitution itself, via the operation of </w:t>
      </w:r>
      <w:r>
        <w:rPr>
          <w:sz w:val="22"/>
          <w:u w:val="single"/>
        </w:rPr>
        <w:t>s 128</w:t>
      </w:r>
      <w:r>
        <w:rPr>
          <w:sz w:val="22"/>
        </w:rPr>
        <w:t xml:space="preserve">, recognises that popular sovereignty, continues to operate in Australia. If the public were continually dissatisfied with the judgements of Australian courts the judiciary would lose both its validity and judges, their integrity. The judiciary has always made decisions that invalidate legislation of the current government, and many decisions of the High Court are very close, indicating that there is a diversity of viewpoints on the bench. Thus, while the appointment of the judiciary is an issue theoretically, in practice is has not proven to be a real threat undermining or watering down the continuing operation of the separation of powers. </w:t>
      </w:r>
      <w:r w:rsidRPr="00C30816">
        <w:rPr>
          <w:color w:val="0000FF"/>
          <w:sz w:val="22"/>
        </w:rPr>
        <w:t>√</w:t>
      </w:r>
    </w:p>
    <w:p w14:paraId="68742B6D" w14:textId="77777777" w:rsidR="00B76BBB" w:rsidRDefault="00B76BBB" w:rsidP="00B76BBB">
      <w:pPr>
        <w:spacing w:line="360" w:lineRule="auto"/>
        <w:rPr>
          <w:sz w:val="22"/>
        </w:rPr>
      </w:pPr>
    </w:p>
    <w:p w14:paraId="4BB2F3D3" w14:textId="77777777" w:rsidR="00B76BBB" w:rsidRDefault="00B76BBB" w:rsidP="00B76BBB">
      <w:pPr>
        <w:spacing w:line="360" w:lineRule="auto"/>
        <w:rPr>
          <w:sz w:val="22"/>
        </w:rPr>
      </w:pPr>
      <w:r>
        <w:rPr>
          <w:sz w:val="22"/>
        </w:rPr>
        <w:t xml:space="preserve">The idea of parliamentary privilege is another more minor area in which the operation of the doctrine can be seen. In </w:t>
      </w:r>
      <w:r>
        <w:rPr>
          <w:sz w:val="22"/>
          <w:u w:val="single"/>
        </w:rPr>
        <w:t>R v Richards</w:t>
      </w:r>
      <w:r>
        <w:rPr>
          <w:sz w:val="22"/>
        </w:rPr>
        <w:t xml:space="preserve"> the High Court recognised that </w:t>
      </w:r>
      <w:r>
        <w:rPr>
          <w:sz w:val="22"/>
          <w:u w:val="single"/>
        </w:rPr>
        <w:t>s 49</w:t>
      </w:r>
      <w:r>
        <w:rPr>
          <w:sz w:val="22"/>
        </w:rPr>
        <w:t xml:space="preserve"> of the Constitution is incapable of limited operation and that, at least in relation to the privilege regarding parliamentary contempt, parliament retains this privilege of the House of Commons. As seen in </w:t>
      </w:r>
      <w:r>
        <w:rPr>
          <w:sz w:val="22"/>
          <w:u w:val="single"/>
        </w:rPr>
        <w:t>Egan v Willis</w:t>
      </w:r>
      <w:r>
        <w:rPr>
          <w:sz w:val="22"/>
        </w:rPr>
        <w:t xml:space="preserve"> and </w:t>
      </w:r>
      <w:r>
        <w:rPr>
          <w:sz w:val="22"/>
          <w:u w:val="single"/>
        </w:rPr>
        <w:t>Egan v Chadwick</w:t>
      </w:r>
      <w:r>
        <w:rPr>
          <w:sz w:val="22"/>
        </w:rPr>
        <w:t xml:space="preserve"> courts will not interfere with the legislatures exercise of this privileges (except in </w:t>
      </w:r>
      <w:r>
        <w:rPr>
          <w:sz w:val="22"/>
          <w:u w:val="single"/>
        </w:rPr>
        <w:t>Willis</w:t>
      </w:r>
      <w:r>
        <w:rPr>
          <w:sz w:val="22"/>
        </w:rPr>
        <w:t xml:space="preserve"> where the issue was rendered justiciable only by reason of being triable with a trespass charge). The separation of powers is thus, evident in relation to privileges. The judiciary does not intervene in what is considered to be a non-justiciable issue now. </w:t>
      </w:r>
    </w:p>
    <w:p w14:paraId="2B40CFD4" w14:textId="77777777" w:rsidR="00B76BBB" w:rsidRPr="00C30816" w:rsidRDefault="00B76BBB" w:rsidP="00B76BBB">
      <w:pPr>
        <w:spacing w:line="360" w:lineRule="auto"/>
        <w:rPr>
          <w:color w:val="0000FF"/>
          <w:sz w:val="22"/>
        </w:rPr>
      </w:pPr>
      <w:r w:rsidRPr="00C30816">
        <w:rPr>
          <w:color w:val="0000FF"/>
          <w:sz w:val="22"/>
        </w:rPr>
        <w:t>√</w:t>
      </w:r>
    </w:p>
    <w:p w14:paraId="7071BA40" w14:textId="77777777" w:rsidR="00B76BBB" w:rsidRDefault="00B76BBB" w:rsidP="00B76BBB">
      <w:pPr>
        <w:spacing w:line="360" w:lineRule="auto"/>
        <w:rPr>
          <w:sz w:val="22"/>
        </w:rPr>
      </w:pPr>
      <w:r>
        <w:rPr>
          <w:sz w:val="22"/>
        </w:rPr>
        <w:t xml:space="preserve">In conclusion it can be seen that the separation of powers principles are reflected in the Australian constitutional law systems to a substantial degree. Whether in relation to the federal separation of judicial power principles or to the doctrines reflection in the Cth constitution, the doctrine continues to play a significant role in the checking of judicial, executive and legislative power in Australia, most notably at the Cth level. </w:t>
      </w:r>
    </w:p>
    <w:p w14:paraId="560318F8" w14:textId="77777777" w:rsidR="00B76BBB" w:rsidRDefault="00B76BBB" w:rsidP="00B76BBB">
      <w:pPr>
        <w:spacing w:line="360" w:lineRule="auto"/>
        <w:rPr>
          <w:sz w:val="22"/>
        </w:rPr>
      </w:pPr>
    </w:p>
    <w:p w14:paraId="4FE1B557" w14:textId="77777777" w:rsidR="00B76BBB" w:rsidRDefault="00B76BBB" w:rsidP="00B76BBB">
      <w:pPr>
        <w:spacing w:line="360" w:lineRule="auto"/>
        <w:rPr>
          <w:color w:val="0000FF"/>
          <w:sz w:val="22"/>
        </w:rPr>
      </w:pPr>
      <w:r>
        <w:rPr>
          <w:color w:val="0000FF"/>
          <w:sz w:val="22"/>
        </w:rPr>
        <w:t xml:space="preserve">This is a nicely constructed paper that draws on material covered in the course. Well done. </w:t>
      </w:r>
    </w:p>
    <w:p w14:paraId="20F69CE1" w14:textId="77777777" w:rsidR="00B76BBB" w:rsidRPr="00C30816" w:rsidRDefault="00B76BBB" w:rsidP="00B76BBB">
      <w:pPr>
        <w:spacing w:line="360" w:lineRule="auto"/>
        <w:rPr>
          <w:i/>
          <w:color w:val="0000FF"/>
          <w:sz w:val="22"/>
        </w:rPr>
      </w:pPr>
      <w:r>
        <w:rPr>
          <w:color w:val="0000FF"/>
          <w:sz w:val="22"/>
        </w:rPr>
        <w:t>80</w:t>
      </w:r>
    </w:p>
    <w:p w14:paraId="2FED2826" w14:textId="77777777" w:rsidR="00EA4CA4" w:rsidRPr="00EA4CA4" w:rsidRDefault="00EA4CA4" w:rsidP="00B76BBB"/>
    <w:sectPr w:rsidR="00EA4CA4" w:rsidRPr="00EA4CA4" w:rsidSect="009A746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DC430" w14:textId="77777777" w:rsidR="00DC337B" w:rsidRDefault="00DC337B" w:rsidP="006A610A">
      <w:pPr>
        <w:spacing w:line="240" w:lineRule="auto"/>
      </w:pPr>
      <w:r>
        <w:separator/>
      </w:r>
    </w:p>
  </w:endnote>
  <w:endnote w:type="continuationSeparator" w:id="0">
    <w:p w14:paraId="767DAEC4" w14:textId="77777777" w:rsidR="00DC337B" w:rsidRDefault="00DC337B" w:rsidP="006A6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A7B2" w14:textId="77777777" w:rsidR="00DC337B" w:rsidRDefault="00DC337B" w:rsidP="006E0A02">
    <w:pPr>
      <w:jc w:val="center"/>
    </w:pPr>
  </w:p>
  <w:p w14:paraId="17784882" w14:textId="77777777" w:rsidR="00DC337B" w:rsidRDefault="00DC337B" w:rsidP="006E0A02">
    <w:pPr>
      <w:jc w:val="center"/>
    </w:pPr>
    <w:r>
      <w:t xml:space="preserve">Page </w:t>
    </w:r>
    <w:r>
      <w:fldChar w:fldCharType="begin"/>
    </w:r>
    <w:r>
      <w:instrText xml:space="preserve"> PAGE </w:instrText>
    </w:r>
    <w:r>
      <w:fldChar w:fldCharType="separate"/>
    </w:r>
    <w:r w:rsidR="006C7005">
      <w:rPr>
        <w:noProof/>
      </w:rPr>
      <w:t>1</w:t>
    </w:r>
    <w:r>
      <w:rPr>
        <w:noProof/>
      </w:rPr>
      <w:fldChar w:fldCharType="end"/>
    </w:r>
    <w:r>
      <w:t xml:space="preserve"> of </w:t>
    </w:r>
    <w:fldSimple w:instr=" NUMPAGES  ">
      <w:r w:rsidR="006C7005">
        <w:rPr>
          <w:noProof/>
        </w:rPr>
        <w:t>3</w:t>
      </w:r>
    </w:fldSimple>
  </w:p>
  <w:p w14:paraId="7C826BD4" w14:textId="77777777" w:rsidR="00DC337B" w:rsidRDefault="00DC337B" w:rsidP="00DC3708">
    <w:pPr>
      <w:pStyle w:val="Footer"/>
      <w:jc w:val="center"/>
    </w:pPr>
    <w:r>
      <w:t>ANU Law Students’ Society</w:t>
    </w:r>
  </w:p>
  <w:p w14:paraId="326FA498" w14:textId="77777777" w:rsidR="00DC337B" w:rsidRDefault="00DC337B" w:rsidP="00DC3708">
    <w:pPr>
      <w:pStyle w:val="Footer"/>
      <w:jc w:val="center"/>
    </w:pPr>
    <w:r>
      <w:t>© Copyright 2010,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B68B" w14:textId="77777777" w:rsidR="00DC337B" w:rsidRDefault="00DC337B" w:rsidP="006A610A">
      <w:pPr>
        <w:spacing w:line="240" w:lineRule="auto"/>
      </w:pPr>
      <w:r>
        <w:separator/>
      </w:r>
    </w:p>
  </w:footnote>
  <w:footnote w:type="continuationSeparator" w:id="0">
    <w:p w14:paraId="2C0C1220" w14:textId="77777777" w:rsidR="00DC337B" w:rsidRDefault="00DC337B" w:rsidP="006A610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49611A6"/>
    <w:multiLevelType w:val="hybridMultilevel"/>
    <w:tmpl w:val="1196F872"/>
    <w:lvl w:ilvl="0" w:tplc="83C8ED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F14574"/>
    <w:multiLevelType w:val="hybridMultilevel"/>
    <w:tmpl w:val="3DA2F34C"/>
    <w:lvl w:ilvl="0" w:tplc="0BAC31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B35A28"/>
    <w:multiLevelType w:val="hybridMultilevel"/>
    <w:tmpl w:val="EBEE9916"/>
    <w:lvl w:ilvl="0" w:tplc="0C090013">
      <w:start w:val="1"/>
      <w:numFmt w:val="upperRoman"/>
      <w:lvlText w:val="%1."/>
      <w:lvlJc w:val="right"/>
      <w:pPr>
        <w:tabs>
          <w:tab w:val="num" w:pos="1080"/>
        </w:tabs>
        <w:ind w:left="1080" w:hanging="18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nsid w:val="2B133A69"/>
    <w:multiLevelType w:val="hybridMultilevel"/>
    <w:tmpl w:val="15E68626"/>
    <w:lvl w:ilvl="0" w:tplc="0BAC31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CF0EB5"/>
    <w:multiLevelType w:val="hybridMultilevel"/>
    <w:tmpl w:val="D7AC949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59E2C89"/>
    <w:multiLevelType w:val="hybridMultilevel"/>
    <w:tmpl w:val="F4D081AE"/>
    <w:lvl w:ilvl="0" w:tplc="0C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9E83075"/>
    <w:multiLevelType w:val="hybridMultilevel"/>
    <w:tmpl w:val="455A0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65542"/>
    <w:multiLevelType w:val="hybridMultilevel"/>
    <w:tmpl w:val="B906C866"/>
    <w:lvl w:ilvl="0" w:tplc="EC948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2E6007"/>
    <w:multiLevelType w:val="hybridMultilevel"/>
    <w:tmpl w:val="4C6E6918"/>
    <w:lvl w:ilvl="0" w:tplc="6114C1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8A27D1"/>
    <w:multiLevelType w:val="hybridMultilevel"/>
    <w:tmpl w:val="6BEA4696"/>
    <w:lvl w:ilvl="0" w:tplc="8C5066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594BF2"/>
    <w:multiLevelType w:val="hybridMultilevel"/>
    <w:tmpl w:val="335A8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0F0FE2"/>
    <w:multiLevelType w:val="hybridMultilevel"/>
    <w:tmpl w:val="B9F46344"/>
    <w:lvl w:ilvl="0" w:tplc="11BA85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A1851"/>
    <w:multiLevelType w:val="hybridMultilevel"/>
    <w:tmpl w:val="19845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27AB5"/>
    <w:multiLevelType w:val="hybridMultilevel"/>
    <w:tmpl w:val="1696D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C7CEF"/>
    <w:multiLevelType w:val="hybridMultilevel"/>
    <w:tmpl w:val="F2A087FC"/>
    <w:lvl w:ilvl="0" w:tplc="90963E6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23"/>
  </w:num>
  <w:num w:numId="4">
    <w:abstractNumId w:val="21"/>
  </w:num>
  <w:num w:numId="5">
    <w:abstractNumId w:val="18"/>
  </w:num>
  <w:num w:numId="6">
    <w:abstractNumId w:val="22"/>
  </w:num>
  <w:num w:numId="7">
    <w:abstractNumId w:val="11"/>
  </w:num>
  <w:num w:numId="8">
    <w:abstractNumId w:val="25"/>
  </w:num>
  <w:num w:numId="9">
    <w:abstractNumId w:val="20"/>
  </w:num>
  <w:num w:numId="10">
    <w:abstractNumId w:val="17"/>
  </w:num>
  <w:num w:numId="11">
    <w:abstractNumId w:val="14"/>
  </w:num>
  <w:num w:numId="12">
    <w:abstractNumId w:val="12"/>
  </w:num>
  <w:num w:numId="13">
    <w:abstractNumId w:val="15"/>
  </w:num>
  <w:num w:numId="14">
    <w:abstractNumId w:val="16"/>
  </w:num>
  <w:num w:numId="15">
    <w:abstractNumId w:val="1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95"/>
    <w:rsid w:val="00016C1F"/>
    <w:rsid w:val="00021444"/>
    <w:rsid w:val="0004234E"/>
    <w:rsid w:val="00050F3A"/>
    <w:rsid w:val="00142064"/>
    <w:rsid w:val="00150779"/>
    <w:rsid w:val="001E2BB9"/>
    <w:rsid w:val="003004E4"/>
    <w:rsid w:val="00357394"/>
    <w:rsid w:val="003F7F95"/>
    <w:rsid w:val="00401F25"/>
    <w:rsid w:val="00525230"/>
    <w:rsid w:val="005707AA"/>
    <w:rsid w:val="00640600"/>
    <w:rsid w:val="006A610A"/>
    <w:rsid w:val="006C7005"/>
    <w:rsid w:val="006E0A02"/>
    <w:rsid w:val="007167AE"/>
    <w:rsid w:val="00782E3D"/>
    <w:rsid w:val="007B66FA"/>
    <w:rsid w:val="008D7683"/>
    <w:rsid w:val="0097419A"/>
    <w:rsid w:val="009A7465"/>
    <w:rsid w:val="00A87DCC"/>
    <w:rsid w:val="00AC71DE"/>
    <w:rsid w:val="00B76BBB"/>
    <w:rsid w:val="00BB6688"/>
    <w:rsid w:val="00C00F10"/>
    <w:rsid w:val="00D672D8"/>
    <w:rsid w:val="00D72BC1"/>
    <w:rsid w:val="00DA247C"/>
    <w:rsid w:val="00DC337B"/>
    <w:rsid w:val="00DC3708"/>
    <w:rsid w:val="00E1178F"/>
    <w:rsid w:val="00E362B3"/>
    <w:rsid w:val="00EA2DEA"/>
    <w:rsid w:val="00EA4CA4"/>
    <w:rsid w:val="00EE6A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EA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F95"/>
    <w:pPr>
      <w:spacing w:line="276" w:lineRule="auto"/>
    </w:pPr>
    <w:rPr>
      <w:sz w:val="24"/>
      <w:szCs w:val="22"/>
      <w:lang w:eastAsia="en-US"/>
    </w:rPr>
  </w:style>
  <w:style w:type="paragraph" w:styleId="Heading1">
    <w:name w:val="heading 1"/>
    <w:basedOn w:val="Normal"/>
    <w:next w:val="Normal"/>
    <w:qFormat/>
    <w:rsid w:val="00050F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F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10A"/>
    <w:pPr>
      <w:tabs>
        <w:tab w:val="center" w:pos="4513"/>
        <w:tab w:val="right" w:pos="9026"/>
      </w:tabs>
    </w:pPr>
  </w:style>
  <w:style w:type="character" w:customStyle="1" w:styleId="HeaderChar">
    <w:name w:val="Header Char"/>
    <w:basedOn w:val="DefaultParagraphFont"/>
    <w:link w:val="Header"/>
    <w:rsid w:val="006A610A"/>
    <w:rPr>
      <w:sz w:val="24"/>
      <w:szCs w:val="22"/>
      <w:lang w:eastAsia="en-US"/>
    </w:rPr>
  </w:style>
  <w:style w:type="paragraph" w:styleId="Footer">
    <w:name w:val="footer"/>
    <w:basedOn w:val="Normal"/>
    <w:link w:val="FooterChar"/>
    <w:rsid w:val="006A610A"/>
    <w:pPr>
      <w:tabs>
        <w:tab w:val="center" w:pos="4513"/>
        <w:tab w:val="right" w:pos="9026"/>
      </w:tabs>
    </w:pPr>
  </w:style>
  <w:style w:type="character" w:customStyle="1" w:styleId="FooterChar">
    <w:name w:val="Footer Char"/>
    <w:basedOn w:val="DefaultParagraphFont"/>
    <w:link w:val="Footer"/>
    <w:rsid w:val="006A610A"/>
    <w:rPr>
      <w:sz w:val="24"/>
      <w:szCs w:val="22"/>
      <w:lang w:eastAsia="en-US"/>
    </w:rPr>
  </w:style>
  <w:style w:type="paragraph" w:styleId="ListParagraph">
    <w:name w:val="List Paragraph"/>
    <w:basedOn w:val="Normal"/>
    <w:uiPriority w:val="34"/>
    <w:qFormat/>
    <w:rsid w:val="00EE6ACA"/>
    <w:pPr>
      <w:spacing w:after="200"/>
      <w:ind w:left="720"/>
      <w:contextualSpacing/>
    </w:pPr>
    <w:rPr>
      <w:rFonts w:ascii="Calibri" w:eastAsia="Calibri" w:hAnsi="Calibri"/>
      <w:sz w:val="22"/>
      <w:lang w:val="en-US"/>
    </w:rPr>
  </w:style>
  <w:style w:type="paragraph" w:customStyle="1" w:styleId="Default">
    <w:name w:val="Default"/>
    <w:rsid w:val="00016C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F95"/>
    <w:pPr>
      <w:spacing w:line="276" w:lineRule="auto"/>
    </w:pPr>
    <w:rPr>
      <w:sz w:val="24"/>
      <w:szCs w:val="22"/>
      <w:lang w:eastAsia="en-US"/>
    </w:rPr>
  </w:style>
  <w:style w:type="paragraph" w:styleId="Heading1">
    <w:name w:val="heading 1"/>
    <w:basedOn w:val="Normal"/>
    <w:next w:val="Normal"/>
    <w:qFormat/>
    <w:rsid w:val="00050F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F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10A"/>
    <w:pPr>
      <w:tabs>
        <w:tab w:val="center" w:pos="4513"/>
        <w:tab w:val="right" w:pos="9026"/>
      </w:tabs>
    </w:pPr>
  </w:style>
  <w:style w:type="character" w:customStyle="1" w:styleId="HeaderChar">
    <w:name w:val="Header Char"/>
    <w:basedOn w:val="DefaultParagraphFont"/>
    <w:link w:val="Header"/>
    <w:rsid w:val="006A610A"/>
    <w:rPr>
      <w:sz w:val="24"/>
      <w:szCs w:val="22"/>
      <w:lang w:eastAsia="en-US"/>
    </w:rPr>
  </w:style>
  <w:style w:type="paragraph" w:styleId="Footer">
    <w:name w:val="footer"/>
    <w:basedOn w:val="Normal"/>
    <w:link w:val="FooterChar"/>
    <w:rsid w:val="006A610A"/>
    <w:pPr>
      <w:tabs>
        <w:tab w:val="center" w:pos="4513"/>
        <w:tab w:val="right" w:pos="9026"/>
      </w:tabs>
    </w:pPr>
  </w:style>
  <w:style w:type="character" w:customStyle="1" w:styleId="FooterChar">
    <w:name w:val="Footer Char"/>
    <w:basedOn w:val="DefaultParagraphFont"/>
    <w:link w:val="Footer"/>
    <w:rsid w:val="006A610A"/>
    <w:rPr>
      <w:sz w:val="24"/>
      <w:szCs w:val="22"/>
      <w:lang w:eastAsia="en-US"/>
    </w:rPr>
  </w:style>
  <w:style w:type="paragraph" w:styleId="ListParagraph">
    <w:name w:val="List Paragraph"/>
    <w:basedOn w:val="Normal"/>
    <w:uiPriority w:val="34"/>
    <w:qFormat/>
    <w:rsid w:val="00EE6ACA"/>
    <w:pPr>
      <w:spacing w:after="200"/>
      <w:ind w:left="720"/>
      <w:contextualSpacing/>
    </w:pPr>
    <w:rPr>
      <w:rFonts w:ascii="Calibri" w:eastAsia="Calibri" w:hAnsi="Calibri"/>
      <w:sz w:val="22"/>
      <w:lang w:val="en-US"/>
    </w:rPr>
  </w:style>
  <w:style w:type="paragraph" w:customStyle="1" w:styleId="Default">
    <w:name w:val="Default"/>
    <w:rsid w:val="00016C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file://localhost/Users/antman/Documents/LSS%20Website%20Files/LSS%20Past%20Papers/Latest%202009%20Papers/http://profile.ak.fbcdn.net/profile-ak-snc1/object3/702/20/n2255409378_8226.jp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1606</Words>
  <Characters>9160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ANU College of LAw, Law Student Society</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Law Students' Society</dc:creator>
  <cp:lastModifiedBy>Anthony Lieu</cp:lastModifiedBy>
  <cp:revision>3</cp:revision>
  <cp:lastPrinted>2010-02-05T03:54:00Z</cp:lastPrinted>
  <dcterms:created xsi:type="dcterms:W3CDTF">2010-09-17T10:13:00Z</dcterms:created>
  <dcterms:modified xsi:type="dcterms:W3CDTF">2010-09-17T10:14:00Z</dcterms:modified>
</cp:coreProperties>
</file>